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B61" w:rsidRDefault="00586904">
      <w:pPr>
        <w:rPr>
          <w:rFonts w:ascii="Arial" w:hAnsi="Arial" w:cs="Arial"/>
          <w:sz w:val="22"/>
          <w:szCs w:val="22"/>
        </w:rPr>
      </w:pPr>
      <w:r w:rsidRPr="00586904">
        <w:rPr>
          <w:rFonts w:ascii="Arial" w:hAnsi="Arial" w:cs="Arial"/>
          <w:b/>
          <w:sz w:val="22"/>
          <w:szCs w:val="22"/>
        </w:rPr>
        <w:t xml:space="preserve">ROOMMATE TRIVIA </w:t>
      </w:r>
      <w:bookmarkStart w:id="0" w:name="_GoBack"/>
      <w:bookmarkEnd w:id="0"/>
    </w:p>
    <w:p w:rsidR="00586904" w:rsidRDefault="00586904" w:rsidP="00586904">
      <w:pPr>
        <w:rPr>
          <w:rFonts w:ascii="Arial" w:hAnsi="Arial" w:cs="Arial"/>
          <w:sz w:val="22"/>
          <w:szCs w:val="22"/>
        </w:rPr>
      </w:pPr>
    </w:p>
    <w:p w:rsidR="00586904" w:rsidRPr="00090B3B" w:rsidRDefault="00586904" w:rsidP="00586904">
      <w:pPr>
        <w:rPr>
          <w:rFonts w:ascii="Arial" w:hAnsi="Arial" w:cs="Arial"/>
          <w:sz w:val="22"/>
          <w:szCs w:val="22"/>
        </w:rPr>
      </w:pPr>
      <w:r>
        <w:rPr>
          <w:rFonts w:ascii="Arial" w:hAnsi="Arial" w:cs="Arial"/>
          <w:sz w:val="22"/>
          <w:szCs w:val="22"/>
        </w:rPr>
        <w:t xml:space="preserve">Team and position required; for example, “second baseman for the Milwaukee Brewers.” In 1999, this position for this team was filled by acquiring a player in free agency from the Twins. The top prospect for this team at this position is </w:t>
      </w:r>
      <w:proofErr w:type="spellStart"/>
      <w:r>
        <w:rPr>
          <w:rFonts w:ascii="Arial" w:hAnsi="Arial" w:cs="Arial"/>
          <w:sz w:val="22"/>
          <w:szCs w:val="22"/>
        </w:rPr>
        <w:t>Alen</w:t>
      </w:r>
      <w:proofErr w:type="spellEnd"/>
      <w:r>
        <w:rPr>
          <w:rFonts w:ascii="Arial" w:hAnsi="Arial" w:cs="Arial"/>
          <w:sz w:val="22"/>
          <w:szCs w:val="22"/>
        </w:rPr>
        <w:t xml:space="preserve"> Hanson. Pat </w:t>
      </w:r>
      <w:proofErr w:type="spellStart"/>
      <w:r>
        <w:rPr>
          <w:rFonts w:ascii="Arial" w:hAnsi="Arial" w:cs="Arial"/>
          <w:sz w:val="22"/>
          <w:szCs w:val="22"/>
        </w:rPr>
        <w:t>Meares</w:t>
      </w:r>
      <w:proofErr w:type="spellEnd"/>
      <w:r>
        <w:rPr>
          <w:rFonts w:ascii="Arial" w:hAnsi="Arial" w:cs="Arial"/>
          <w:sz w:val="22"/>
          <w:szCs w:val="22"/>
        </w:rPr>
        <w:t xml:space="preserve"> once played this position for this team, which was manned in the mid-2000s by a player acquired from the Cardinals for Jason Christiansen who is an excellent defender, had 200 hits in 2004, and currently plies his trade for the Seattle Mariners. One player who played this position for this team was one of the first five baseball hall of famers and is depicted on the rare T-206 baseball card. The “Flying Dutchman,” </w:t>
      </w:r>
      <w:proofErr w:type="spellStart"/>
      <w:r>
        <w:rPr>
          <w:rFonts w:ascii="Arial" w:hAnsi="Arial" w:cs="Arial"/>
          <w:sz w:val="22"/>
          <w:szCs w:val="22"/>
        </w:rPr>
        <w:t>Honus</w:t>
      </w:r>
      <w:proofErr w:type="spellEnd"/>
      <w:r>
        <w:rPr>
          <w:rFonts w:ascii="Arial" w:hAnsi="Arial" w:cs="Arial"/>
          <w:sz w:val="22"/>
          <w:szCs w:val="22"/>
        </w:rPr>
        <w:t xml:space="preserve"> Wagner, manned what position for what team? </w:t>
      </w:r>
    </w:p>
    <w:p w:rsidR="00586904" w:rsidRPr="00942231" w:rsidRDefault="00586904" w:rsidP="00586904">
      <w:pPr>
        <w:rPr>
          <w:rFonts w:ascii="Arial" w:hAnsi="Arial" w:cs="Arial"/>
          <w:sz w:val="22"/>
          <w:szCs w:val="22"/>
        </w:rPr>
      </w:pPr>
      <w:r w:rsidRPr="00090B3B">
        <w:rPr>
          <w:rFonts w:ascii="Arial" w:hAnsi="Arial" w:cs="Arial"/>
          <w:sz w:val="22"/>
          <w:szCs w:val="22"/>
        </w:rPr>
        <w:t xml:space="preserve">ANSWER: </w:t>
      </w:r>
      <w:proofErr w:type="gramStart"/>
      <w:r>
        <w:rPr>
          <w:rFonts w:ascii="Arial" w:hAnsi="Arial" w:cs="Arial"/>
          <w:b/>
          <w:sz w:val="22"/>
          <w:szCs w:val="22"/>
          <w:u w:val="single"/>
        </w:rPr>
        <w:t>shortstop</w:t>
      </w:r>
      <w:r>
        <w:rPr>
          <w:rFonts w:ascii="Arial" w:hAnsi="Arial" w:cs="Arial"/>
          <w:sz w:val="22"/>
          <w:szCs w:val="22"/>
        </w:rPr>
        <w:t xml:space="preserve"> for the </w:t>
      </w:r>
      <w:r>
        <w:rPr>
          <w:rFonts w:ascii="Arial" w:hAnsi="Arial" w:cs="Arial"/>
          <w:b/>
          <w:sz w:val="22"/>
          <w:szCs w:val="22"/>
          <w:u w:val="single"/>
        </w:rPr>
        <w:t>Pittsburgh</w:t>
      </w:r>
      <w:r>
        <w:rPr>
          <w:rFonts w:ascii="Arial" w:hAnsi="Arial" w:cs="Arial"/>
          <w:sz w:val="22"/>
          <w:szCs w:val="22"/>
        </w:rPr>
        <w:t xml:space="preserve"> </w:t>
      </w:r>
      <w:r>
        <w:rPr>
          <w:rFonts w:ascii="Arial" w:hAnsi="Arial" w:cs="Arial"/>
          <w:b/>
          <w:sz w:val="22"/>
          <w:szCs w:val="22"/>
          <w:u w:val="single"/>
        </w:rPr>
        <w:t>Pirates</w:t>
      </w:r>
      <w:r>
        <w:rPr>
          <w:rFonts w:ascii="Arial" w:hAnsi="Arial" w:cs="Arial"/>
          <w:sz w:val="22"/>
          <w:szCs w:val="22"/>
        </w:rPr>
        <w:t xml:space="preserve"> [accept</w:t>
      </w:r>
      <w:proofErr w:type="gramEnd"/>
      <w:r>
        <w:rPr>
          <w:rFonts w:ascii="Arial" w:hAnsi="Arial" w:cs="Arial"/>
          <w:sz w:val="22"/>
          <w:szCs w:val="22"/>
        </w:rPr>
        <w:t xml:space="preserve"> either of the latter two; prompt on partial answer] </w:t>
      </w:r>
    </w:p>
    <w:p w:rsidR="00586904" w:rsidRDefault="00586904" w:rsidP="00586904">
      <w:pPr>
        <w:rPr>
          <w:rFonts w:ascii="Arial" w:hAnsi="Arial" w:cs="Arial"/>
          <w:sz w:val="22"/>
          <w:szCs w:val="22"/>
        </w:rPr>
      </w:pPr>
    </w:p>
    <w:p w:rsidR="00586904" w:rsidRPr="00090B3B" w:rsidRDefault="00586904" w:rsidP="00586904">
      <w:pPr>
        <w:rPr>
          <w:rFonts w:ascii="Arial" w:hAnsi="Arial" w:cs="Arial"/>
          <w:sz w:val="22"/>
          <w:szCs w:val="22"/>
        </w:rPr>
      </w:pPr>
      <w:r w:rsidRPr="00090B3B">
        <w:rPr>
          <w:rFonts w:ascii="Arial" w:hAnsi="Arial" w:cs="Arial"/>
          <w:sz w:val="22"/>
          <w:szCs w:val="22"/>
        </w:rPr>
        <w:t xml:space="preserve">One opinion about this type of property was written by Daniel Tompkins and cites </w:t>
      </w:r>
      <w:proofErr w:type="spellStart"/>
      <w:r w:rsidRPr="00090B3B">
        <w:rPr>
          <w:rFonts w:ascii="Arial" w:hAnsi="Arial" w:cs="Arial"/>
          <w:sz w:val="22"/>
          <w:szCs w:val="22"/>
        </w:rPr>
        <w:t>Pufendorf</w:t>
      </w:r>
      <w:proofErr w:type="spellEnd"/>
      <w:r w:rsidRPr="00090B3B">
        <w:rPr>
          <w:rFonts w:ascii="Arial" w:hAnsi="Arial" w:cs="Arial"/>
          <w:sz w:val="22"/>
          <w:szCs w:val="22"/>
        </w:rPr>
        <w:t xml:space="preserve"> on occupancy. One case about this type of property held that a person using his own land for profit had a right not to have another person disturb his livelihood by firing guns. One category of this type of property was the subject of a case in which one party claimed ownership in it based on a bomb lance. This category of property is the subject of an opinion that reasons that possession, and not pursuit, defines ownership.</w:t>
      </w:r>
      <w:r w:rsidRPr="00090B3B">
        <w:rPr>
          <w:rFonts w:ascii="Arial" w:hAnsi="Arial" w:cs="Arial"/>
          <w:i/>
          <w:sz w:val="22"/>
          <w:szCs w:val="22"/>
        </w:rPr>
        <w:t xml:space="preserve"> </w:t>
      </w:r>
      <w:proofErr w:type="spellStart"/>
      <w:r w:rsidRPr="00090B3B">
        <w:rPr>
          <w:rFonts w:ascii="Arial" w:hAnsi="Arial" w:cs="Arial"/>
          <w:i/>
          <w:sz w:val="22"/>
          <w:szCs w:val="22"/>
        </w:rPr>
        <w:t>Keeble</w:t>
      </w:r>
      <w:proofErr w:type="spellEnd"/>
      <w:r w:rsidRPr="00090B3B">
        <w:rPr>
          <w:rFonts w:ascii="Arial" w:hAnsi="Arial" w:cs="Arial"/>
          <w:i/>
          <w:sz w:val="22"/>
          <w:szCs w:val="22"/>
        </w:rPr>
        <w:t xml:space="preserve"> v. </w:t>
      </w:r>
      <w:proofErr w:type="spellStart"/>
      <w:r w:rsidRPr="00090B3B">
        <w:rPr>
          <w:rFonts w:ascii="Arial" w:hAnsi="Arial" w:cs="Arial"/>
          <w:i/>
          <w:sz w:val="22"/>
          <w:szCs w:val="22"/>
        </w:rPr>
        <w:t>Hickeringill</w:t>
      </w:r>
      <w:proofErr w:type="spellEnd"/>
      <w:r w:rsidRPr="00090B3B">
        <w:rPr>
          <w:rFonts w:ascii="Arial" w:hAnsi="Arial" w:cs="Arial"/>
          <w:sz w:val="22"/>
          <w:szCs w:val="22"/>
        </w:rPr>
        <w:t xml:space="preserve">, </w:t>
      </w:r>
      <w:proofErr w:type="spellStart"/>
      <w:r w:rsidRPr="00090B3B">
        <w:rPr>
          <w:rFonts w:ascii="Arial" w:hAnsi="Arial" w:cs="Arial"/>
          <w:i/>
          <w:sz w:val="22"/>
          <w:szCs w:val="22"/>
        </w:rPr>
        <w:t>Ghen</w:t>
      </w:r>
      <w:proofErr w:type="spellEnd"/>
      <w:r w:rsidRPr="00090B3B">
        <w:rPr>
          <w:rFonts w:ascii="Arial" w:hAnsi="Arial" w:cs="Arial"/>
          <w:i/>
          <w:sz w:val="22"/>
          <w:szCs w:val="22"/>
        </w:rPr>
        <w:t xml:space="preserve"> v. Rich</w:t>
      </w:r>
      <w:r w:rsidRPr="00090B3B">
        <w:rPr>
          <w:rFonts w:ascii="Arial" w:hAnsi="Arial" w:cs="Arial"/>
          <w:sz w:val="22"/>
          <w:szCs w:val="22"/>
        </w:rPr>
        <w:t xml:space="preserve">, and </w:t>
      </w:r>
      <w:r w:rsidRPr="00090B3B">
        <w:rPr>
          <w:rFonts w:ascii="Arial" w:hAnsi="Arial" w:cs="Arial"/>
          <w:i/>
          <w:sz w:val="22"/>
          <w:szCs w:val="22"/>
        </w:rPr>
        <w:t>Pierson v. Post</w:t>
      </w:r>
      <w:r w:rsidRPr="00090B3B">
        <w:rPr>
          <w:rFonts w:ascii="Arial" w:hAnsi="Arial" w:cs="Arial"/>
          <w:sz w:val="22"/>
          <w:szCs w:val="22"/>
        </w:rPr>
        <w:t xml:space="preserve"> all deal with what type of property, also known as </w:t>
      </w:r>
      <w:proofErr w:type="spellStart"/>
      <w:r w:rsidRPr="00090B3B">
        <w:rPr>
          <w:rFonts w:ascii="Arial" w:hAnsi="Arial" w:cs="Arial"/>
          <w:i/>
          <w:sz w:val="22"/>
          <w:szCs w:val="22"/>
        </w:rPr>
        <w:t>ferae</w:t>
      </w:r>
      <w:proofErr w:type="spellEnd"/>
      <w:r w:rsidRPr="00090B3B">
        <w:rPr>
          <w:rFonts w:ascii="Arial" w:hAnsi="Arial" w:cs="Arial"/>
          <w:i/>
          <w:sz w:val="22"/>
          <w:szCs w:val="22"/>
        </w:rPr>
        <w:t xml:space="preserve"> </w:t>
      </w:r>
      <w:proofErr w:type="spellStart"/>
      <w:r w:rsidRPr="00090B3B">
        <w:rPr>
          <w:rFonts w:ascii="Arial" w:hAnsi="Arial" w:cs="Arial"/>
          <w:i/>
          <w:sz w:val="22"/>
          <w:szCs w:val="22"/>
        </w:rPr>
        <w:t>naturae</w:t>
      </w:r>
      <w:proofErr w:type="spellEnd"/>
      <w:r w:rsidRPr="00090B3B">
        <w:rPr>
          <w:rFonts w:ascii="Arial" w:hAnsi="Arial" w:cs="Arial"/>
          <w:sz w:val="22"/>
          <w:szCs w:val="22"/>
        </w:rPr>
        <w:t>, exemplified by the carcasses of whales, birds, and foxes?</w:t>
      </w:r>
    </w:p>
    <w:p w:rsidR="00586904" w:rsidRPr="00090B3B" w:rsidRDefault="00586904" w:rsidP="00586904">
      <w:pPr>
        <w:rPr>
          <w:rFonts w:ascii="Arial" w:hAnsi="Arial" w:cs="Arial"/>
          <w:sz w:val="22"/>
          <w:szCs w:val="22"/>
        </w:rPr>
      </w:pPr>
      <w:r w:rsidRPr="00090B3B">
        <w:rPr>
          <w:rFonts w:ascii="Arial" w:hAnsi="Arial" w:cs="Arial"/>
          <w:sz w:val="22"/>
          <w:szCs w:val="22"/>
        </w:rPr>
        <w:t xml:space="preserve">ANSWER: wild </w:t>
      </w:r>
      <w:r w:rsidRPr="00090B3B">
        <w:rPr>
          <w:rFonts w:ascii="Arial" w:hAnsi="Arial" w:cs="Arial"/>
          <w:b/>
          <w:sz w:val="22"/>
          <w:szCs w:val="22"/>
          <w:u w:val="single"/>
        </w:rPr>
        <w:t>animal</w:t>
      </w:r>
      <w:r w:rsidRPr="00090B3B">
        <w:rPr>
          <w:rFonts w:ascii="Arial" w:hAnsi="Arial" w:cs="Arial"/>
          <w:sz w:val="22"/>
          <w:szCs w:val="22"/>
        </w:rPr>
        <w:t xml:space="preserve">s [or </w:t>
      </w:r>
      <w:proofErr w:type="spellStart"/>
      <w:r w:rsidRPr="00090B3B">
        <w:rPr>
          <w:rFonts w:ascii="Arial" w:hAnsi="Arial" w:cs="Arial"/>
          <w:b/>
          <w:sz w:val="22"/>
          <w:szCs w:val="22"/>
          <w:u w:val="single"/>
        </w:rPr>
        <w:t>fera</w:t>
      </w:r>
      <w:r w:rsidRPr="00090B3B">
        <w:rPr>
          <w:rFonts w:ascii="Arial" w:hAnsi="Arial" w:cs="Arial"/>
          <w:sz w:val="22"/>
          <w:szCs w:val="22"/>
        </w:rPr>
        <w:t>e</w:t>
      </w:r>
      <w:proofErr w:type="spellEnd"/>
      <w:r w:rsidRPr="00090B3B">
        <w:rPr>
          <w:rFonts w:ascii="Arial" w:hAnsi="Arial" w:cs="Arial"/>
          <w:sz w:val="22"/>
          <w:szCs w:val="22"/>
        </w:rPr>
        <w:t xml:space="preserve"> </w:t>
      </w:r>
      <w:proofErr w:type="spellStart"/>
      <w:r w:rsidRPr="00090B3B">
        <w:rPr>
          <w:rFonts w:ascii="Arial" w:hAnsi="Arial" w:cs="Arial"/>
          <w:sz w:val="22"/>
          <w:szCs w:val="22"/>
        </w:rPr>
        <w:t>naturae</w:t>
      </w:r>
      <w:proofErr w:type="spellEnd"/>
      <w:r w:rsidRPr="00090B3B">
        <w:rPr>
          <w:rFonts w:ascii="Arial" w:hAnsi="Arial" w:cs="Arial"/>
          <w:sz w:val="22"/>
          <w:szCs w:val="22"/>
        </w:rPr>
        <w:t xml:space="preserve"> before said; accept anything that seems like a reasonable synonym; accept more specific answers like </w:t>
      </w:r>
      <w:r w:rsidRPr="00090B3B">
        <w:rPr>
          <w:rFonts w:ascii="Arial" w:hAnsi="Arial" w:cs="Arial"/>
          <w:b/>
          <w:sz w:val="22"/>
          <w:szCs w:val="22"/>
          <w:u w:val="single"/>
        </w:rPr>
        <w:t>whale</w:t>
      </w:r>
      <w:r w:rsidRPr="00090B3B">
        <w:rPr>
          <w:rFonts w:ascii="Arial" w:hAnsi="Arial" w:cs="Arial"/>
          <w:sz w:val="22"/>
          <w:szCs w:val="22"/>
        </w:rPr>
        <w:t xml:space="preserve">s, </w:t>
      </w:r>
      <w:r w:rsidRPr="00090B3B">
        <w:rPr>
          <w:rFonts w:ascii="Arial" w:hAnsi="Arial" w:cs="Arial"/>
          <w:b/>
          <w:sz w:val="22"/>
          <w:szCs w:val="22"/>
          <w:u w:val="single"/>
        </w:rPr>
        <w:t>fox</w:t>
      </w:r>
      <w:r w:rsidRPr="00090B3B">
        <w:rPr>
          <w:rFonts w:ascii="Arial" w:hAnsi="Arial" w:cs="Arial"/>
          <w:sz w:val="22"/>
          <w:szCs w:val="22"/>
        </w:rPr>
        <w:t xml:space="preserve">es, </w:t>
      </w:r>
      <w:r w:rsidRPr="00090B3B">
        <w:rPr>
          <w:rFonts w:ascii="Arial" w:hAnsi="Arial" w:cs="Arial"/>
          <w:b/>
          <w:sz w:val="22"/>
          <w:szCs w:val="22"/>
          <w:u w:val="single"/>
        </w:rPr>
        <w:t>duck</w:t>
      </w:r>
      <w:r w:rsidRPr="00090B3B">
        <w:rPr>
          <w:rFonts w:ascii="Arial" w:hAnsi="Arial" w:cs="Arial"/>
          <w:sz w:val="22"/>
          <w:szCs w:val="22"/>
        </w:rPr>
        <w:t xml:space="preserve">s, or </w:t>
      </w:r>
      <w:r w:rsidRPr="00090B3B">
        <w:rPr>
          <w:rFonts w:ascii="Arial" w:hAnsi="Arial" w:cs="Arial"/>
          <w:b/>
          <w:sz w:val="22"/>
          <w:szCs w:val="22"/>
          <w:u w:val="single"/>
        </w:rPr>
        <w:t>bird</w:t>
      </w:r>
      <w:r w:rsidRPr="00090B3B">
        <w:rPr>
          <w:rFonts w:ascii="Arial" w:hAnsi="Arial" w:cs="Arial"/>
          <w:sz w:val="22"/>
          <w:szCs w:val="22"/>
        </w:rPr>
        <w:t>s]</w:t>
      </w:r>
    </w:p>
    <w:p w:rsidR="00586904" w:rsidRDefault="00586904" w:rsidP="00586904">
      <w:pPr>
        <w:rPr>
          <w:rFonts w:ascii="Arial" w:hAnsi="Arial" w:cs="Arial"/>
          <w:sz w:val="22"/>
          <w:szCs w:val="22"/>
        </w:rPr>
      </w:pPr>
    </w:p>
    <w:p w:rsidR="00586904" w:rsidRPr="00090B3B" w:rsidRDefault="00586904" w:rsidP="00586904">
      <w:pPr>
        <w:rPr>
          <w:rFonts w:ascii="Arial" w:hAnsi="Arial" w:cs="Arial"/>
          <w:sz w:val="22"/>
          <w:szCs w:val="22"/>
        </w:rPr>
      </w:pPr>
      <w:r w:rsidRPr="00090B3B">
        <w:rPr>
          <w:rFonts w:ascii="Arial" w:hAnsi="Arial" w:cs="Arial"/>
          <w:sz w:val="22"/>
          <w:szCs w:val="22"/>
        </w:rPr>
        <w:t xml:space="preserve">One brand of this type of alcoholic beverage, which shut down production during Prohibition, was revived in 2009 by Dr. Adam </w:t>
      </w:r>
      <w:proofErr w:type="spellStart"/>
      <w:r w:rsidRPr="00090B3B">
        <w:rPr>
          <w:rFonts w:ascii="Arial" w:hAnsi="Arial" w:cs="Arial"/>
          <w:sz w:val="22"/>
          <w:szCs w:val="22"/>
        </w:rPr>
        <w:t>Elmegirab’s</w:t>
      </w:r>
      <w:proofErr w:type="spellEnd"/>
      <w:r w:rsidRPr="00090B3B">
        <w:rPr>
          <w:rFonts w:ascii="Arial" w:hAnsi="Arial" w:cs="Arial"/>
          <w:sz w:val="22"/>
          <w:szCs w:val="22"/>
        </w:rPr>
        <w:t xml:space="preserve">. Besides </w:t>
      </w:r>
      <w:proofErr w:type="spellStart"/>
      <w:r w:rsidRPr="00090B3B">
        <w:rPr>
          <w:rFonts w:ascii="Arial" w:hAnsi="Arial" w:cs="Arial"/>
          <w:sz w:val="22"/>
          <w:szCs w:val="22"/>
        </w:rPr>
        <w:t>Boker’s</w:t>
      </w:r>
      <w:proofErr w:type="spellEnd"/>
      <w:r w:rsidRPr="00090B3B">
        <w:rPr>
          <w:rFonts w:ascii="Arial" w:hAnsi="Arial" w:cs="Arial"/>
          <w:sz w:val="22"/>
          <w:szCs w:val="22"/>
        </w:rPr>
        <w:t xml:space="preserve">, another brand of this type of alcoholic beverage is </w:t>
      </w:r>
      <w:proofErr w:type="spellStart"/>
      <w:r w:rsidRPr="00090B3B">
        <w:rPr>
          <w:rFonts w:ascii="Arial" w:hAnsi="Arial" w:cs="Arial"/>
          <w:sz w:val="22"/>
          <w:szCs w:val="22"/>
        </w:rPr>
        <w:t>Peychaud’s</w:t>
      </w:r>
      <w:proofErr w:type="spellEnd"/>
      <w:r w:rsidRPr="00090B3B">
        <w:rPr>
          <w:rFonts w:ascii="Arial" w:hAnsi="Arial" w:cs="Arial"/>
          <w:sz w:val="22"/>
          <w:szCs w:val="22"/>
        </w:rPr>
        <w:t xml:space="preserve">. One category of this type of alcohol is an aperitif or </w:t>
      </w:r>
      <w:proofErr w:type="spellStart"/>
      <w:r w:rsidRPr="00090B3B">
        <w:rPr>
          <w:rFonts w:ascii="Arial" w:hAnsi="Arial" w:cs="Arial"/>
          <w:sz w:val="22"/>
          <w:szCs w:val="22"/>
        </w:rPr>
        <w:t>digestif</w:t>
      </w:r>
      <w:proofErr w:type="spellEnd"/>
      <w:r w:rsidRPr="00090B3B">
        <w:rPr>
          <w:rFonts w:ascii="Arial" w:hAnsi="Arial" w:cs="Arial"/>
          <w:sz w:val="22"/>
          <w:szCs w:val="22"/>
        </w:rPr>
        <w:t xml:space="preserve"> exemplified by Campari. One brand of this type of alcoholic beverage, which has an oversized label featuring Emperor Franz Josef, is manufactured in Port-of-Spain, Trinidad. Angostura is one brand of what alcoholic beverage used as a mixer to impart a certain flavor in alcoholic drinks?</w:t>
      </w:r>
    </w:p>
    <w:p w:rsidR="00586904" w:rsidRPr="00090B3B" w:rsidRDefault="00586904" w:rsidP="00586904">
      <w:pPr>
        <w:rPr>
          <w:rFonts w:ascii="Arial" w:hAnsi="Arial" w:cs="Arial"/>
          <w:sz w:val="22"/>
          <w:szCs w:val="22"/>
        </w:rPr>
      </w:pPr>
      <w:r w:rsidRPr="00090B3B">
        <w:rPr>
          <w:rFonts w:ascii="Arial" w:hAnsi="Arial" w:cs="Arial"/>
          <w:sz w:val="22"/>
          <w:szCs w:val="22"/>
        </w:rPr>
        <w:t xml:space="preserve">ANSWER: </w:t>
      </w:r>
      <w:r w:rsidRPr="00090B3B">
        <w:rPr>
          <w:rFonts w:ascii="Arial" w:hAnsi="Arial" w:cs="Arial"/>
          <w:b/>
          <w:sz w:val="22"/>
          <w:szCs w:val="22"/>
          <w:u w:val="single"/>
        </w:rPr>
        <w:t>bitters</w:t>
      </w:r>
    </w:p>
    <w:p w:rsidR="00586904" w:rsidRPr="00090B3B" w:rsidRDefault="00586904" w:rsidP="00586904">
      <w:pPr>
        <w:rPr>
          <w:rFonts w:ascii="Arial" w:hAnsi="Arial" w:cs="Arial"/>
          <w:sz w:val="22"/>
          <w:szCs w:val="22"/>
        </w:rPr>
      </w:pPr>
    </w:p>
    <w:p w:rsidR="00586904" w:rsidRPr="00090B3B" w:rsidRDefault="00586904" w:rsidP="00586904">
      <w:pPr>
        <w:rPr>
          <w:rFonts w:ascii="Arial" w:hAnsi="Arial" w:cs="Arial"/>
          <w:sz w:val="22"/>
          <w:szCs w:val="22"/>
        </w:rPr>
      </w:pPr>
      <w:r w:rsidRPr="00090B3B">
        <w:rPr>
          <w:rFonts w:ascii="Arial" w:hAnsi="Arial" w:cs="Arial"/>
          <w:sz w:val="22"/>
          <w:szCs w:val="22"/>
        </w:rPr>
        <w:t xml:space="preserve">The language creating this interest creates no future interest, which, by analogy, gives rise to the rule that a remainder cannot be created in a grantor’s heirs, the doctrine of worthier title. The Rule in Shelley’s Case converted a life estate to </w:t>
      </w:r>
      <w:proofErr w:type="spellStart"/>
      <w:r w:rsidRPr="00090B3B">
        <w:rPr>
          <w:rFonts w:ascii="Arial" w:hAnsi="Arial" w:cs="Arial"/>
          <w:sz w:val="22"/>
          <w:szCs w:val="22"/>
        </w:rPr>
        <w:t>B</w:t>
      </w:r>
      <w:proofErr w:type="spellEnd"/>
      <w:r w:rsidRPr="00090B3B">
        <w:rPr>
          <w:rFonts w:ascii="Arial" w:hAnsi="Arial" w:cs="Arial"/>
          <w:sz w:val="22"/>
          <w:szCs w:val="22"/>
        </w:rPr>
        <w:t xml:space="preserve"> followed by a conveyance to B’s heirs into a vested remainder, which the doctrine of merger then converts into this ownership interest. This interest is alienable, devisable, and descendible. It is a freer transfer than similarly named interests that are “subsequent to a condition precedent” and “determinable.” Name this unconditional estate in land created by conveying a property “to N and his heirs.”</w:t>
      </w:r>
    </w:p>
    <w:p w:rsidR="00586904" w:rsidRPr="00090B3B" w:rsidRDefault="00586904" w:rsidP="00586904">
      <w:pPr>
        <w:rPr>
          <w:rFonts w:ascii="Arial" w:hAnsi="Arial" w:cs="Arial"/>
          <w:sz w:val="22"/>
          <w:szCs w:val="22"/>
        </w:rPr>
      </w:pPr>
      <w:r w:rsidRPr="00090B3B">
        <w:rPr>
          <w:rFonts w:ascii="Arial" w:hAnsi="Arial" w:cs="Arial"/>
          <w:sz w:val="22"/>
          <w:szCs w:val="22"/>
        </w:rPr>
        <w:t xml:space="preserve">ANSWER: </w:t>
      </w:r>
      <w:r w:rsidRPr="00090B3B">
        <w:rPr>
          <w:rFonts w:ascii="Arial" w:hAnsi="Arial" w:cs="Arial"/>
          <w:b/>
          <w:sz w:val="22"/>
          <w:szCs w:val="22"/>
          <w:u w:val="single"/>
        </w:rPr>
        <w:t>fee simple</w:t>
      </w:r>
      <w:r w:rsidRPr="00435CA1">
        <w:rPr>
          <w:rFonts w:ascii="Arial" w:hAnsi="Arial" w:cs="Arial"/>
          <w:sz w:val="22"/>
          <w:szCs w:val="22"/>
        </w:rPr>
        <w:t xml:space="preserve"> absolute</w:t>
      </w:r>
      <w:r w:rsidRPr="00090B3B">
        <w:rPr>
          <w:rFonts w:ascii="Arial" w:hAnsi="Arial" w:cs="Arial"/>
          <w:sz w:val="22"/>
          <w:szCs w:val="22"/>
        </w:rPr>
        <w:t xml:space="preserve"> </w:t>
      </w:r>
    </w:p>
    <w:p w:rsidR="00586904" w:rsidRDefault="00586904" w:rsidP="00586904">
      <w:pPr>
        <w:rPr>
          <w:rFonts w:ascii="Arial" w:hAnsi="Arial" w:cs="Arial"/>
          <w:sz w:val="22"/>
          <w:szCs w:val="22"/>
        </w:rPr>
      </w:pPr>
    </w:p>
    <w:p w:rsidR="00586904" w:rsidRDefault="00586904" w:rsidP="00586904">
      <w:pPr>
        <w:rPr>
          <w:rFonts w:ascii="Arial" w:hAnsi="Arial" w:cs="Arial"/>
          <w:sz w:val="22"/>
          <w:szCs w:val="22"/>
        </w:rPr>
      </w:pPr>
      <w:r>
        <w:rPr>
          <w:rFonts w:ascii="Arial" w:hAnsi="Arial" w:cs="Arial"/>
          <w:sz w:val="22"/>
          <w:szCs w:val="22"/>
        </w:rPr>
        <w:t xml:space="preserve">In the 2011 ESWC Group Stage, XBOCT used this hero three times, most devastatingly against Orange E-Sports, when he had 14 kills and three assists using this hero. Chinese player ZSMJ often uses this hero, whose attack is similar to </w:t>
      </w:r>
      <w:proofErr w:type="spellStart"/>
      <w:r>
        <w:rPr>
          <w:rFonts w:ascii="Arial" w:hAnsi="Arial" w:cs="Arial"/>
          <w:sz w:val="22"/>
          <w:szCs w:val="22"/>
        </w:rPr>
        <w:t>Windrunner’s</w:t>
      </w:r>
      <w:proofErr w:type="spellEnd"/>
      <w:r>
        <w:rPr>
          <w:rFonts w:ascii="Arial" w:hAnsi="Arial" w:cs="Arial"/>
          <w:sz w:val="22"/>
          <w:szCs w:val="22"/>
        </w:rPr>
        <w:t xml:space="preserve">. This blue-skinned hero was raised by a short, </w:t>
      </w:r>
      <w:proofErr w:type="spellStart"/>
      <w:r>
        <w:rPr>
          <w:rFonts w:ascii="Arial" w:hAnsi="Arial" w:cs="Arial"/>
          <w:sz w:val="22"/>
          <w:szCs w:val="22"/>
        </w:rPr>
        <w:t>trollish</w:t>
      </w:r>
      <w:proofErr w:type="spellEnd"/>
      <w:r>
        <w:rPr>
          <w:rFonts w:ascii="Arial" w:hAnsi="Arial" w:cs="Arial"/>
          <w:sz w:val="22"/>
          <w:szCs w:val="22"/>
        </w:rPr>
        <w:t xml:space="preserve"> people after being discovered in the ruins of a wagon caravan attacked by bandits. This hero’s abilities include silence, precision aura, marksmanship, and frost arrows. Name this oft-played </w:t>
      </w:r>
      <w:proofErr w:type="spellStart"/>
      <w:r>
        <w:rPr>
          <w:rFonts w:ascii="Arial" w:hAnsi="Arial" w:cs="Arial"/>
          <w:sz w:val="22"/>
          <w:szCs w:val="22"/>
        </w:rPr>
        <w:t>DotA</w:t>
      </w:r>
      <w:proofErr w:type="spellEnd"/>
      <w:r>
        <w:rPr>
          <w:rFonts w:ascii="Arial" w:hAnsi="Arial" w:cs="Arial"/>
          <w:sz w:val="22"/>
          <w:szCs w:val="22"/>
        </w:rPr>
        <w:t xml:space="preserve"> character, a Sentinel archer hero whose given name is </w:t>
      </w:r>
      <w:proofErr w:type="spellStart"/>
      <w:r>
        <w:rPr>
          <w:rFonts w:ascii="Arial" w:hAnsi="Arial" w:cs="Arial"/>
          <w:sz w:val="22"/>
          <w:szCs w:val="22"/>
        </w:rPr>
        <w:t>Traxex</w:t>
      </w:r>
      <w:proofErr w:type="spellEnd"/>
      <w:r>
        <w:rPr>
          <w:rFonts w:ascii="Arial" w:hAnsi="Arial" w:cs="Arial"/>
          <w:sz w:val="22"/>
          <w:szCs w:val="22"/>
        </w:rPr>
        <w:t xml:space="preserve"> and who is a ranger.</w:t>
      </w:r>
    </w:p>
    <w:p w:rsidR="00586904" w:rsidRPr="00021E01" w:rsidRDefault="00586904" w:rsidP="00586904">
      <w:pPr>
        <w:rPr>
          <w:rFonts w:ascii="Arial" w:hAnsi="Arial" w:cs="Arial"/>
          <w:sz w:val="22"/>
          <w:szCs w:val="22"/>
        </w:rPr>
      </w:pPr>
      <w:r w:rsidRPr="00090B3B">
        <w:rPr>
          <w:rFonts w:ascii="Arial" w:hAnsi="Arial" w:cs="Arial"/>
          <w:sz w:val="22"/>
          <w:szCs w:val="22"/>
        </w:rPr>
        <w:t xml:space="preserve">ANSWER: </w:t>
      </w:r>
      <w:proofErr w:type="spellStart"/>
      <w:r>
        <w:rPr>
          <w:rFonts w:ascii="Arial" w:hAnsi="Arial" w:cs="Arial"/>
          <w:b/>
          <w:sz w:val="22"/>
          <w:szCs w:val="22"/>
          <w:u w:val="single"/>
        </w:rPr>
        <w:t>Traxex</w:t>
      </w:r>
      <w:proofErr w:type="spellEnd"/>
      <w:r>
        <w:rPr>
          <w:rFonts w:ascii="Arial" w:hAnsi="Arial" w:cs="Arial"/>
          <w:sz w:val="22"/>
          <w:szCs w:val="22"/>
        </w:rPr>
        <w:t xml:space="preserve">, the </w:t>
      </w:r>
      <w:proofErr w:type="spellStart"/>
      <w:r>
        <w:rPr>
          <w:rFonts w:ascii="Arial" w:hAnsi="Arial" w:cs="Arial"/>
          <w:b/>
          <w:sz w:val="22"/>
          <w:szCs w:val="22"/>
          <w:u w:val="single"/>
        </w:rPr>
        <w:t>Drow</w:t>
      </w:r>
      <w:proofErr w:type="spellEnd"/>
      <w:r w:rsidRPr="00CD4272">
        <w:rPr>
          <w:rFonts w:ascii="Arial" w:hAnsi="Arial" w:cs="Arial"/>
          <w:sz w:val="22"/>
          <w:szCs w:val="22"/>
        </w:rPr>
        <w:t xml:space="preserve"> Ranger</w:t>
      </w:r>
      <w:r>
        <w:rPr>
          <w:rFonts w:ascii="Arial" w:hAnsi="Arial" w:cs="Arial"/>
          <w:sz w:val="22"/>
          <w:szCs w:val="22"/>
        </w:rPr>
        <w:t xml:space="preserve"> [accept either until “</w:t>
      </w:r>
      <w:proofErr w:type="spellStart"/>
      <w:r>
        <w:rPr>
          <w:rFonts w:ascii="Arial" w:hAnsi="Arial" w:cs="Arial"/>
          <w:sz w:val="22"/>
          <w:szCs w:val="22"/>
        </w:rPr>
        <w:t>Traxex</w:t>
      </w:r>
      <w:proofErr w:type="spellEnd"/>
      <w:r>
        <w:rPr>
          <w:rFonts w:ascii="Arial" w:hAnsi="Arial" w:cs="Arial"/>
          <w:sz w:val="22"/>
          <w:szCs w:val="22"/>
        </w:rPr>
        <w:t>”]</w:t>
      </w:r>
    </w:p>
    <w:p w:rsidR="00586904" w:rsidRPr="00090B3B" w:rsidRDefault="00586904" w:rsidP="00586904">
      <w:pPr>
        <w:rPr>
          <w:rFonts w:ascii="Arial" w:hAnsi="Arial" w:cs="Arial"/>
          <w:sz w:val="22"/>
          <w:szCs w:val="22"/>
        </w:rPr>
      </w:pPr>
    </w:p>
    <w:p w:rsidR="00586904" w:rsidRPr="00090B3B" w:rsidRDefault="00586904" w:rsidP="00586904">
      <w:pPr>
        <w:rPr>
          <w:rFonts w:ascii="Arial" w:hAnsi="Arial" w:cs="Arial"/>
          <w:sz w:val="22"/>
          <w:szCs w:val="22"/>
        </w:rPr>
      </w:pPr>
      <w:r w:rsidRPr="00090B3B">
        <w:rPr>
          <w:rFonts w:ascii="Arial" w:hAnsi="Arial" w:cs="Arial"/>
          <w:sz w:val="22"/>
          <w:szCs w:val="22"/>
        </w:rPr>
        <w:lastRenderedPageBreak/>
        <w:t>Part B of one Federal Rule about this process clarifies that plaintiffs may seek relief in both law and equity, even if the claims that underlie that relief are contingent on one another. The first prerequisite of Rule 23 class actions is that this process for all class members be impracticable. One category of this process applies to parties in whose absence the court cannot accord complete relief, or who have interests that may not be protected. Another category of this process allows parties to bring as many counterclaims, cross-claims, and third-party claims as they want in one single action. Federal Rules of Civil Procedure 18, 19, and 20 deals with what process that can apply to claims or parties, the latter of which may be permissive or mandatory?</w:t>
      </w:r>
    </w:p>
    <w:p w:rsidR="00586904" w:rsidRPr="00090B3B" w:rsidRDefault="00586904" w:rsidP="00586904">
      <w:pPr>
        <w:rPr>
          <w:rFonts w:ascii="Arial" w:hAnsi="Arial" w:cs="Arial"/>
          <w:sz w:val="22"/>
          <w:szCs w:val="22"/>
        </w:rPr>
      </w:pPr>
      <w:r w:rsidRPr="00090B3B">
        <w:rPr>
          <w:rFonts w:ascii="Arial" w:hAnsi="Arial" w:cs="Arial"/>
          <w:sz w:val="22"/>
          <w:szCs w:val="22"/>
        </w:rPr>
        <w:t xml:space="preserve">ANSWER: </w:t>
      </w:r>
      <w:proofErr w:type="gramStart"/>
      <w:r w:rsidRPr="00090B3B">
        <w:rPr>
          <w:rFonts w:ascii="Arial" w:hAnsi="Arial" w:cs="Arial"/>
          <w:b/>
          <w:sz w:val="22"/>
          <w:szCs w:val="22"/>
          <w:u w:val="single"/>
        </w:rPr>
        <w:t>joinder</w:t>
      </w:r>
      <w:r w:rsidRPr="00090B3B">
        <w:rPr>
          <w:rFonts w:ascii="Arial" w:hAnsi="Arial" w:cs="Arial"/>
          <w:sz w:val="22"/>
          <w:szCs w:val="22"/>
        </w:rPr>
        <w:t xml:space="preserve"> [accept</w:t>
      </w:r>
      <w:proofErr w:type="gramEnd"/>
      <w:r w:rsidRPr="00090B3B">
        <w:rPr>
          <w:rFonts w:ascii="Arial" w:hAnsi="Arial" w:cs="Arial"/>
          <w:sz w:val="22"/>
          <w:szCs w:val="22"/>
        </w:rPr>
        <w:t xml:space="preserve"> more specific answers including </w:t>
      </w:r>
      <w:r w:rsidRPr="00090B3B">
        <w:rPr>
          <w:rFonts w:ascii="Arial" w:hAnsi="Arial" w:cs="Arial"/>
          <w:b/>
          <w:sz w:val="22"/>
          <w:szCs w:val="22"/>
          <w:u w:val="single"/>
        </w:rPr>
        <w:t>joinder</w:t>
      </w:r>
      <w:r w:rsidRPr="00090B3B">
        <w:rPr>
          <w:rFonts w:ascii="Arial" w:hAnsi="Arial" w:cs="Arial"/>
          <w:sz w:val="22"/>
          <w:szCs w:val="22"/>
        </w:rPr>
        <w:t xml:space="preserve">; accept word forms of </w:t>
      </w:r>
      <w:r w:rsidRPr="00090B3B">
        <w:rPr>
          <w:rFonts w:ascii="Arial" w:hAnsi="Arial" w:cs="Arial"/>
          <w:b/>
          <w:sz w:val="22"/>
          <w:szCs w:val="22"/>
          <w:u w:val="single"/>
        </w:rPr>
        <w:t>join</w:t>
      </w:r>
      <w:r w:rsidRPr="00090B3B">
        <w:rPr>
          <w:rFonts w:ascii="Arial" w:hAnsi="Arial" w:cs="Arial"/>
          <w:sz w:val="22"/>
          <w:szCs w:val="22"/>
        </w:rPr>
        <w:t>]</w:t>
      </w:r>
    </w:p>
    <w:p w:rsidR="00586904" w:rsidRDefault="00586904" w:rsidP="00586904">
      <w:pPr>
        <w:rPr>
          <w:rFonts w:ascii="Arial" w:hAnsi="Arial" w:cs="Arial"/>
          <w:sz w:val="22"/>
          <w:szCs w:val="22"/>
        </w:rPr>
      </w:pPr>
    </w:p>
    <w:p w:rsidR="00586904" w:rsidRPr="00D726E9" w:rsidRDefault="00586904" w:rsidP="00586904">
      <w:pPr>
        <w:rPr>
          <w:rFonts w:ascii="Arial" w:hAnsi="Arial" w:cs="Arial"/>
          <w:sz w:val="22"/>
          <w:szCs w:val="22"/>
        </w:rPr>
      </w:pPr>
      <w:r>
        <w:rPr>
          <w:rFonts w:ascii="Arial" w:hAnsi="Arial" w:cs="Arial"/>
          <w:sz w:val="22"/>
          <w:szCs w:val="22"/>
        </w:rPr>
        <w:t xml:space="preserve">This condition is the subject of Jonathan </w:t>
      </w:r>
      <w:proofErr w:type="spellStart"/>
      <w:r>
        <w:rPr>
          <w:rFonts w:ascii="Arial" w:hAnsi="Arial" w:cs="Arial"/>
          <w:sz w:val="22"/>
          <w:szCs w:val="22"/>
        </w:rPr>
        <w:t>Kozol’s</w:t>
      </w:r>
      <w:proofErr w:type="spellEnd"/>
      <w:r>
        <w:rPr>
          <w:rFonts w:ascii="Arial" w:hAnsi="Arial" w:cs="Arial"/>
          <w:sz w:val="22"/>
          <w:szCs w:val="22"/>
        </w:rPr>
        <w:t xml:space="preserve"> 1980 book </w:t>
      </w:r>
      <w:r>
        <w:rPr>
          <w:rFonts w:ascii="Arial" w:hAnsi="Arial" w:cs="Arial"/>
          <w:i/>
          <w:sz w:val="22"/>
          <w:szCs w:val="22"/>
        </w:rPr>
        <w:t>Prisoners of Silence</w:t>
      </w:r>
      <w:r>
        <w:rPr>
          <w:rFonts w:ascii="Arial" w:hAnsi="Arial" w:cs="Arial"/>
          <w:sz w:val="22"/>
          <w:szCs w:val="22"/>
        </w:rPr>
        <w:t>, which claimed that an overreliance on interviews and the underuse of mailed fliers led to this condition going underreported.</w:t>
      </w:r>
      <w:r>
        <w:rPr>
          <w:rFonts w:ascii="Arial" w:hAnsi="Arial" w:cs="Arial"/>
          <w:i/>
          <w:sz w:val="22"/>
          <w:szCs w:val="22"/>
        </w:rPr>
        <w:t xml:space="preserve"> </w:t>
      </w:r>
      <w:r>
        <w:rPr>
          <w:rFonts w:ascii="Arial" w:hAnsi="Arial" w:cs="Arial"/>
          <w:sz w:val="22"/>
          <w:szCs w:val="22"/>
        </w:rPr>
        <w:t xml:space="preserve">In the 2005 memoir </w:t>
      </w:r>
      <w:r>
        <w:rPr>
          <w:rFonts w:ascii="Arial" w:hAnsi="Arial" w:cs="Arial"/>
          <w:i/>
          <w:sz w:val="22"/>
          <w:szCs w:val="22"/>
        </w:rPr>
        <w:t>Life is Not a Fairy Tale</w:t>
      </w:r>
      <w:r>
        <w:rPr>
          <w:rFonts w:ascii="Arial" w:hAnsi="Arial" w:cs="Arial"/>
          <w:sz w:val="22"/>
          <w:szCs w:val="22"/>
        </w:rPr>
        <w:t xml:space="preserve">, Fantasia </w:t>
      </w:r>
      <w:proofErr w:type="spellStart"/>
      <w:r>
        <w:rPr>
          <w:rFonts w:ascii="Arial" w:hAnsi="Arial" w:cs="Arial"/>
          <w:sz w:val="22"/>
          <w:szCs w:val="22"/>
        </w:rPr>
        <w:t>Burrino</w:t>
      </w:r>
      <w:proofErr w:type="spellEnd"/>
      <w:r>
        <w:rPr>
          <w:rFonts w:ascii="Arial" w:hAnsi="Arial" w:cs="Arial"/>
          <w:sz w:val="22"/>
          <w:szCs w:val="22"/>
        </w:rPr>
        <w:t xml:space="preserve"> revealed that she suffered from this condition, which nearly half of urban Detroiters suffer from. Along with life expectancy, standard of living, and gross enrollment rate, this suboptimal condition is one of the inputs in the Human Development Index. Name this “functional” condition in which people cannot manage daily life and employment tasks because they are unable to read and write.</w:t>
      </w:r>
    </w:p>
    <w:p w:rsidR="00586904" w:rsidRPr="00D726E9" w:rsidRDefault="00586904" w:rsidP="00586904">
      <w:pPr>
        <w:rPr>
          <w:rFonts w:ascii="Arial" w:hAnsi="Arial" w:cs="Arial"/>
          <w:sz w:val="22"/>
          <w:szCs w:val="22"/>
        </w:rPr>
      </w:pPr>
      <w:r w:rsidRPr="00090B3B">
        <w:rPr>
          <w:rFonts w:ascii="Arial" w:hAnsi="Arial" w:cs="Arial"/>
          <w:sz w:val="22"/>
          <w:szCs w:val="22"/>
        </w:rPr>
        <w:t xml:space="preserve">ANSWER: </w:t>
      </w:r>
      <w:r>
        <w:rPr>
          <w:rFonts w:ascii="Arial" w:hAnsi="Arial" w:cs="Arial"/>
          <w:sz w:val="22"/>
          <w:szCs w:val="22"/>
        </w:rPr>
        <w:t xml:space="preserve">functional </w:t>
      </w:r>
      <w:r w:rsidRPr="00D726E9">
        <w:rPr>
          <w:rFonts w:ascii="Arial" w:hAnsi="Arial" w:cs="Arial"/>
          <w:b/>
          <w:sz w:val="22"/>
          <w:szCs w:val="22"/>
          <w:u w:val="single"/>
        </w:rPr>
        <w:t>illiteracy</w:t>
      </w:r>
      <w:r>
        <w:rPr>
          <w:rFonts w:ascii="Arial" w:hAnsi="Arial" w:cs="Arial"/>
          <w:sz w:val="22"/>
          <w:szCs w:val="22"/>
        </w:rPr>
        <w:t xml:space="preserve"> [or </w:t>
      </w:r>
      <w:r>
        <w:rPr>
          <w:rFonts w:ascii="Arial" w:hAnsi="Arial" w:cs="Arial"/>
          <w:b/>
          <w:sz w:val="22"/>
          <w:szCs w:val="22"/>
          <w:u w:val="single"/>
        </w:rPr>
        <w:t>a</w:t>
      </w:r>
      <w:r w:rsidRPr="00D726E9">
        <w:rPr>
          <w:rFonts w:ascii="Arial" w:hAnsi="Arial" w:cs="Arial"/>
          <w:b/>
          <w:sz w:val="22"/>
          <w:szCs w:val="22"/>
          <w:u w:val="single"/>
        </w:rPr>
        <w:t>nalphabetism</w:t>
      </w:r>
      <w:r>
        <w:rPr>
          <w:rFonts w:ascii="Arial" w:hAnsi="Arial" w:cs="Arial"/>
          <w:sz w:val="22"/>
          <w:szCs w:val="22"/>
        </w:rPr>
        <w:t>]</w:t>
      </w:r>
    </w:p>
    <w:p w:rsidR="00586904" w:rsidRPr="00090B3B" w:rsidRDefault="00586904" w:rsidP="00586904">
      <w:pPr>
        <w:rPr>
          <w:rFonts w:ascii="Arial" w:hAnsi="Arial" w:cs="Arial"/>
          <w:sz w:val="22"/>
          <w:szCs w:val="22"/>
        </w:rPr>
      </w:pPr>
    </w:p>
    <w:p w:rsidR="00586904" w:rsidRPr="00090B3B" w:rsidRDefault="00586904" w:rsidP="00586904">
      <w:pPr>
        <w:rPr>
          <w:rFonts w:ascii="Arial" w:hAnsi="Arial" w:cs="Arial"/>
          <w:sz w:val="22"/>
          <w:szCs w:val="22"/>
        </w:rPr>
      </w:pPr>
      <w:r w:rsidRPr="00090B3B">
        <w:rPr>
          <w:rFonts w:ascii="Arial" w:hAnsi="Arial" w:cs="Arial"/>
          <w:sz w:val="22"/>
          <w:szCs w:val="22"/>
        </w:rPr>
        <w:t xml:space="preserve">As exemplified by </w:t>
      </w:r>
      <w:proofErr w:type="spellStart"/>
      <w:r w:rsidRPr="00090B3B">
        <w:rPr>
          <w:rFonts w:ascii="Arial" w:hAnsi="Arial" w:cs="Arial"/>
          <w:i/>
          <w:sz w:val="22"/>
          <w:szCs w:val="22"/>
        </w:rPr>
        <w:t>Gebardi</w:t>
      </w:r>
      <w:proofErr w:type="spellEnd"/>
      <w:r w:rsidRPr="00090B3B">
        <w:rPr>
          <w:rFonts w:ascii="Arial" w:hAnsi="Arial" w:cs="Arial"/>
          <w:i/>
          <w:sz w:val="22"/>
          <w:szCs w:val="22"/>
        </w:rPr>
        <w:t xml:space="preserve"> v. United States</w:t>
      </w:r>
      <w:r w:rsidRPr="00090B3B">
        <w:rPr>
          <w:rFonts w:ascii="Arial" w:hAnsi="Arial" w:cs="Arial"/>
          <w:sz w:val="22"/>
          <w:szCs w:val="22"/>
        </w:rPr>
        <w:t xml:space="preserve">, this crime does not apply to a class of legislatively protected people, such as women transported across state lines in violation of the Mann Act or a person under the age of consent. Abandonment is not a defense to this crime, but is a defense to future crimes so long as notice of withdrawal is given in time for abandonment. The Model Penal Code adopts a unilateral approach to this crime. People can be held liable for foreseeable crimes under the </w:t>
      </w:r>
      <w:r w:rsidRPr="00090B3B">
        <w:rPr>
          <w:rFonts w:ascii="Arial" w:hAnsi="Arial" w:cs="Arial"/>
          <w:i/>
          <w:sz w:val="22"/>
          <w:szCs w:val="22"/>
        </w:rPr>
        <w:t>Pinkerton</w:t>
      </w:r>
      <w:r w:rsidRPr="00090B3B">
        <w:rPr>
          <w:rFonts w:ascii="Arial" w:hAnsi="Arial" w:cs="Arial"/>
          <w:sz w:val="22"/>
          <w:szCs w:val="22"/>
        </w:rPr>
        <w:t xml:space="preserve"> theory stemming from this inchoate crime, which requires an overt act in furtherance. Name this type of inchoate crime in which multiple people form an agreement to commit a crime.</w:t>
      </w:r>
    </w:p>
    <w:p w:rsidR="00586904" w:rsidRPr="00090B3B" w:rsidRDefault="00586904" w:rsidP="00586904">
      <w:pPr>
        <w:rPr>
          <w:rFonts w:ascii="Arial" w:hAnsi="Arial" w:cs="Arial"/>
          <w:sz w:val="22"/>
          <w:szCs w:val="22"/>
        </w:rPr>
      </w:pPr>
      <w:r w:rsidRPr="00090B3B">
        <w:rPr>
          <w:rFonts w:ascii="Arial" w:hAnsi="Arial" w:cs="Arial"/>
          <w:sz w:val="22"/>
          <w:szCs w:val="22"/>
        </w:rPr>
        <w:t xml:space="preserve">ANSWER: </w:t>
      </w:r>
      <w:r w:rsidRPr="00090B3B">
        <w:rPr>
          <w:rFonts w:ascii="Arial" w:hAnsi="Arial" w:cs="Arial"/>
          <w:b/>
          <w:sz w:val="22"/>
          <w:szCs w:val="22"/>
          <w:u w:val="single"/>
        </w:rPr>
        <w:t>conspiracy</w:t>
      </w:r>
      <w:r w:rsidRPr="00090B3B">
        <w:rPr>
          <w:rFonts w:ascii="Arial" w:hAnsi="Arial" w:cs="Arial"/>
          <w:sz w:val="22"/>
          <w:szCs w:val="22"/>
        </w:rPr>
        <w:t xml:space="preserve"> [accept word forms]</w:t>
      </w:r>
    </w:p>
    <w:p w:rsidR="00586904" w:rsidRDefault="00586904" w:rsidP="00586904">
      <w:pPr>
        <w:rPr>
          <w:rFonts w:ascii="Arial" w:hAnsi="Arial" w:cs="Arial"/>
          <w:sz w:val="22"/>
          <w:szCs w:val="22"/>
        </w:rPr>
      </w:pPr>
    </w:p>
    <w:p w:rsidR="00586904" w:rsidRPr="00090B3B" w:rsidRDefault="00586904" w:rsidP="00586904">
      <w:pPr>
        <w:rPr>
          <w:rFonts w:ascii="Arial" w:hAnsi="Arial" w:cs="Arial"/>
          <w:sz w:val="22"/>
          <w:szCs w:val="22"/>
        </w:rPr>
      </w:pPr>
      <w:r>
        <w:rPr>
          <w:rFonts w:ascii="Arial" w:hAnsi="Arial" w:cs="Arial"/>
          <w:sz w:val="22"/>
          <w:szCs w:val="22"/>
        </w:rPr>
        <w:t xml:space="preserve">In one appearance, this man stated that he could do anything a rival could do, but “skewed younger.” This man’s daughter Hope gets second place in the Miss Inner Beauty pageant at the Church and State Fair. In another appearance, he asks a man to try to open a gate, revealing that the man is too short, before saying “if he can’t reach, this trial’s a breach.” This man, who hired Larry Middleman to be a surrogate, appeared in a commercial in which he says “you don’t need double talk,” thrice slams a book shut, and asks “why should you go to prison for a crime someone else noticed?” Name this character who lobs law bombs on his law blog, played by Scott </w:t>
      </w:r>
      <w:proofErr w:type="spellStart"/>
      <w:r>
        <w:rPr>
          <w:rFonts w:ascii="Arial" w:hAnsi="Arial" w:cs="Arial"/>
          <w:sz w:val="22"/>
          <w:szCs w:val="22"/>
        </w:rPr>
        <w:t>Baio</w:t>
      </w:r>
      <w:proofErr w:type="spellEnd"/>
      <w:r>
        <w:rPr>
          <w:rFonts w:ascii="Arial" w:hAnsi="Arial" w:cs="Arial"/>
          <w:sz w:val="22"/>
          <w:szCs w:val="22"/>
        </w:rPr>
        <w:t xml:space="preserve"> on </w:t>
      </w:r>
      <w:r w:rsidRPr="001022E7">
        <w:rPr>
          <w:rFonts w:ascii="Arial" w:hAnsi="Arial" w:cs="Arial"/>
          <w:i/>
          <w:sz w:val="22"/>
          <w:szCs w:val="22"/>
        </w:rPr>
        <w:t>Arrested Development</w:t>
      </w:r>
      <w:r>
        <w:rPr>
          <w:rFonts w:ascii="Arial" w:hAnsi="Arial" w:cs="Arial"/>
          <w:sz w:val="22"/>
          <w:szCs w:val="22"/>
        </w:rPr>
        <w:t>.</w:t>
      </w:r>
    </w:p>
    <w:p w:rsidR="00586904" w:rsidRPr="00090B3B" w:rsidRDefault="00586904" w:rsidP="00586904">
      <w:pPr>
        <w:rPr>
          <w:rFonts w:ascii="Arial" w:hAnsi="Arial" w:cs="Arial"/>
          <w:sz w:val="22"/>
          <w:szCs w:val="22"/>
        </w:rPr>
      </w:pPr>
      <w:r w:rsidRPr="00090B3B">
        <w:rPr>
          <w:rFonts w:ascii="Arial" w:hAnsi="Arial" w:cs="Arial"/>
          <w:sz w:val="22"/>
          <w:szCs w:val="22"/>
        </w:rPr>
        <w:t xml:space="preserve">ANSWER: </w:t>
      </w:r>
      <w:r>
        <w:rPr>
          <w:rFonts w:ascii="Arial" w:hAnsi="Arial" w:cs="Arial"/>
          <w:sz w:val="22"/>
          <w:szCs w:val="22"/>
        </w:rPr>
        <w:t xml:space="preserve">Bob </w:t>
      </w:r>
      <w:r w:rsidRPr="001022E7">
        <w:rPr>
          <w:rFonts w:ascii="Arial" w:hAnsi="Arial" w:cs="Arial"/>
          <w:b/>
          <w:sz w:val="22"/>
          <w:szCs w:val="22"/>
          <w:u w:val="single"/>
        </w:rPr>
        <w:t>Loblaw</w:t>
      </w:r>
    </w:p>
    <w:p w:rsidR="00586904" w:rsidRPr="00090B3B" w:rsidRDefault="00586904" w:rsidP="00586904">
      <w:pPr>
        <w:rPr>
          <w:rFonts w:ascii="Arial" w:hAnsi="Arial" w:cs="Arial"/>
          <w:sz w:val="22"/>
          <w:szCs w:val="22"/>
        </w:rPr>
      </w:pPr>
    </w:p>
    <w:p w:rsidR="00586904" w:rsidRPr="00090B3B" w:rsidRDefault="00586904" w:rsidP="00586904">
      <w:pPr>
        <w:rPr>
          <w:rFonts w:ascii="Arial" w:hAnsi="Arial" w:cs="Arial"/>
          <w:sz w:val="22"/>
          <w:szCs w:val="22"/>
        </w:rPr>
      </w:pPr>
      <w:r>
        <w:rPr>
          <w:rFonts w:ascii="Arial" w:hAnsi="Arial" w:cs="Arial"/>
          <w:sz w:val="22"/>
          <w:szCs w:val="22"/>
        </w:rPr>
        <w:t xml:space="preserve">One federal rule about this type of evidence has exceptions in criminal trials for descriptions of a victim, which may be rebutted by the prosecutor by evidence about similar descriptions of the defendant. This type of evidence is covered by Rule 608, which outlines two situations in which it may be introduced in the context of witnesses. This type of evidence is not admissible to prove conduct. </w:t>
      </w:r>
      <w:proofErr w:type="gramStart"/>
      <w:r>
        <w:rPr>
          <w:rFonts w:ascii="Arial" w:hAnsi="Arial" w:cs="Arial"/>
          <w:sz w:val="22"/>
          <w:szCs w:val="22"/>
        </w:rPr>
        <w:t>Rules 404 and 405 deal with this type of evidence, which can only be rebutted with evidence of the same pertinent trait.</w:t>
      </w:r>
      <w:proofErr w:type="gramEnd"/>
      <w:r>
        <w:rPr>
          <w:rFonts w:ascii="Arial" w:hAnsi="Arial" w:cs="Arial"/>
          <w:sz w:val="22"/>
          <w:szCs w:val="22"/>
        </w:rPr>
        <w:t xml:space="preserve"> Name this type of evidence that can be shown by witnesses answering questions about specific instances of conduct or reputation and opinion.</w:t>
      </w:r>
    </w:p>
    <w:p w:rsidR="00586904" w:rsidRPr="009D7CA4" w:rsidRDefault="00586904" w:rsidP="00586904">
      <w:pPr>
        <w:rPr>
          <w:rFonts w:ascii="Arial" w:hAnsi="Arial" w:cs="Arial"/>
          <w:sz w:val="22"/>
          <w:szCs w:val="22"/>
        </w:rPr>
      </w:pPr>
      <w:r w:rsidRPr="00090B3B">
        <w:rPr>
          <w:rFonts w:ascii="Arial" w:hAnsi="Arial" w:cs="Arial"/>
          <w:sz w:val="22"/>
          <w:szCs w:val="22"/>
        </w:rPr>
        <w:t xml:space="preserve">ANSWER: </w:t>
      </w:r>
      <w:r>
        <w:rPr>
          <w:rFonts w:ascii="Arial" w:hAnsi="Arial" w:cs="Arial"/>
          <w:b/>
          <w:sz w:val="22"/>
          <w:szCs w:val="22"/>
          <w:u w:val="single"/>
        </w:rPr>
        <w:t>character</w:t>
      </w:r>
      <w:r>
        <w:rPr>
          <w:rFonts w:ascii="Arial" w:hAnsi="Arial" w:cs="Arial"/>
          <w:sz w:val="22"/>
          <w:szCs w:val="22"/>
        </w:rPr>
        <w:t xml:space="preserve"> evidence [accept </w:t>
      </w:r>
      <w:r>
        <w:rPr>
          <w:rFonts w:ascii="Arial" w:hAnsi="Arial" w:cs="Arial"/>
          <w:b/>
          <w:sz w:val="22"/>
          <w:szCs w:val="22"/>
          <w:u w:val="single"/>
        </w:rPr>
        <w:t>impeaching</w:t>
      </w:r>
      <w:r>
        <w:rPr>
          <w:rFonts w:ascii="Arial" w:hAnsi="Arial" w:cs="Arial"/>
          <w:sz w:val="22"/>
          <w:szCs w:val="22"/>
        </w:rPr>
        <w:t xml:space="preserve"> evidence] </w:t>
      </w:r>
    </w:p>
    <w:p w:rsidR="00586904" w:rsidRDefault="00586904" w:rsidP="00586904">
      <w:pPr>
        <w:rPr>
          <w:rFonts w:ascii="Arial" w:hAnsi="Arial" w:cs="Arial"/>
          <w:sz w:val="22"/>
          <w:szCs w:val="22"/>
        </w:rPr>
      </w:pPr>
    </w:p>
    <w:p w:rsidR="00586904" w:rsidRPr="00090B3B" w:rsidRDefault="00586904" w:rsidP="00586904">
      <w:pPr>
        <w:rPr>
          <w:rFonts w:ascii="Arial" w:hAnsi="Arial" w:cs="Arial"/>
          <w:sz w:val="22"/>
          <w:szCs w:val="22"/>
        </w:rPr>
      </w:pPr>
      <w:r>
        <w:rPr>
          <w:rFonts w:ascii="Arial" w:hAnsi="Arial" w:cs="Arial"/>
          <w:sz w:val="22"/>
          <w:szCs w:val="22"/>
        </w:rPr>
        <w:t xml:space="preserve">Team and position required; for example, “tight end for the San Francisco 49ers.” Despite not being a punter, a player at this position for this team has the longest punt in franchise history at 91 yards in 1989, a year before that player rushed for a near-NFL-record 942 yards while </w:t>
      </w:r>
      <w:r>
        <w:rPr>
          <w:rFonts w:ascii="Arial" w:hAnsi="Arial" w:cs="Arial"/>
          <w:sz w:val="22"/>
          <w:szCs w:val="22"/>
        </w:rPr>
        <w:lastRenderedPageBreak/>
        <w:t xml:space="preserve">playing this position for this team. Players in the team hall of fame playing this position for this team include a man nicknamed the “Polish rifle” who was booted from the Monday Night Football booth in 2012. This position for this team was filled during the 1960 NFL Championship by a man who also won a championship with the Los Angeles Rams, “The Dutchman,” Norm Van </w:t>
      </w:r>
      <w:proofErr w:type="spellStart"/>
      <w:r>
        <w:rPr>
          <w:rFonts w:ascii="Arial" w:hAnsi="Arial" w:cs="Arial"/>
          <w:sz w:val="22"/>
          <w:szCs w:val="22"/>
        </w:rPr>
        <w:t>Brocklin</w:t>
      </w:r>
      <w:proofErr w:type="spellEnd"/>
      <w:r>
        <w:rPr>
          <w:rFonts w:ascii="Arial" w:hAnsi="Arial" w:cs="Arial"/>
          <w:sz w:val="22"/>
          <w:szCs w:val="22"/>
        </w:rPr>
        <w:t xml:space="preserve">. Matt Barkley, Nick </w:t>
      </w:r>
      <w:proofErr w:type="spellStart"/>
      <w:r>
        <w:rPr>
          <w:rFonts w:ascii="Arial" w:hAnsi="Arial" w:cs="Arial"/>
          <w:sz w:val="22"/>
          <w:szCs w:val="22"/>
        </w:rPr>
        <w:t>Foles</w:t>
      </w:r>
      <w:proofErr w:type="spellEnd"/>
      <w:r>
        <w:rPr>
          <w:rFonts w:ascii="Arial" w:hAnsi="Arial" w:cs="Arial"/>
          <w:sz w:val="22"/>
          <w:szCs w:val="22"/>
        </w:rPr>
        <w:t>, and Michael Vick are currently battling for what position, most capably manned by Donovan McNabb?</w:t>
      </w:r>
    </w:p>
    <w:p w:rsidR="00586904" w:rsidRPr="00090B3B" w:rsidRDefault="00586904" w:rsidP="00586904">
      <w:pPr>
        <w:rPr>
          <w:rFonts w:ascii="Arial" w:hAnsi="Arial" w:cs="Arial"/>
          <w:sz w:val="22"/>
          <w:szCs w:val="22"/>
        </w:rPr>
      </w:pPr>
      <w:r w:rsidRPr="00090B3B">
        <w:rPr>
          <w:rFonts w:ascii="Arial" w:hAnsi="Arial" w:cs="Arial"/>
          <w:sz w:val="22"/>
          <w:szCs w:val="22"/>
        </w:rPr>
        <w:t xml:space="preserve">ANSWER: </w:t>
      </w:r>
      <w:r w:rsidRPr="00B22E6B">
        <w:rPr>
          <w:rFonts w:ascii="Arial" w:hAnsi="Arial" w:cs="Arial"/>
          <w:b/>
          <w:sz w:val="22"/>
          <w:szCs w:val="22"/>
          <w:u w:val="single"/>
        </w:rPr>
        <w:t>quarterback</w:t>
      </w:r>
      <w:r>
        <w:rPr>
          <w:rFonts w:ascii="Arial" w:hAnsi="Arial" w:cs="Arial"/>
          <w:sz w:val="22"/>
          <w:szCs w:val="22"/>
        </w:rPr>
        <w:t xml:space="preserve"> for the </w:t>
      </w:r>
      <w:r w:rsidRPr="00B22E6B">
        <w:rPr>
          <w:rFonts w:ascii="Arial" w:hAnsi="Arial" w:cs="Arial"/>
          <w:b/>
          <w:sz w:val="22"/>
          <w:szCs w:val="22"/>
          <w:u w:val="single"/>
        </w:rPr>
        <w:t>Philadelphia</w:t>
      </w:r>
      <w:r>
        <w:rPr>
          <w:rFonts w:ascii="Arial" w:hAnsi="Arial" w:cs="Arial"/>
          <w:sz w:val="22"/>
          <w:szCs w:val="22"/>
        </w:rPr>
        <w:t xml:space="preserve"> </w:t>
      </w:r>
      <w:r w:rsidRPr="00B22E6B">
        <w:rPr>
          <w:rFonts w:ascii="Arial" w:hAnsi="Arial" w:cs="Arial"/>
          <w:b/>
          <w:sz w:val="22"/>
          <w:szCs w:val="22"/>
          <w:u w:val="single"/>
        </w:rPr>
        <w:t>Eagles</w:t>
      </w:r>
      <w:r>
        <w:rPr>
          <w:rFonts w:ascii="Arial" w:hAnsi="Arial" w:cs="Arial"/>
          <w:sz w:val="22"/>
          <w:szCs w:val="22"/>
        </w:rPr>
        <w:t xml:space="preserve"> [accept either of the latter two; prompt on partial answer]</w:t>
      </w:r>
    </w:p>
    <w:p w:rsidR="00586904" w:rsidRPr="00090B3B" w:rsidRDefault="00586904" w:rsidP="00586904">
      <w:pPr>
        <w:rPr>
          <w:rFonts w:ascii="Arial" w:hAnsi="Arial" w:cs="Arial"/>
          <w:sz w:val="22"/>
          <w:szCs w:val="22"/>
        </w:rPr>
      </w:pPr>
    </w:p>
    <w:p w:rsidR="00586904" w:rsidRPr="00090B3B" w:rsidRDefault="00586904" w:rsidP="00586904">
      <w:pPr>
        <w:rPr>
          <w:rFonts w:ascii="Arial" w:hAnsi="Arial" w:cs="Arial"/>
          <w:sz w:val="22"/>
          <w:szCs w:val="22"/>
        </w:rPr>
      </w:pPr>
      <w:r>
        <w:rPr>
          <w:rFonts w:ascii="Arial" w:hAnsi="Arial" w:cs="Arial"/>
          <w:sz w:val="22"/>
          <w:szCs w:val="22"/>
        </w:rPr>
        <w:t>A nominal form of this concept is dubbed “peppercorn.” A pre-existing legal duty cannot stand in for this concept, which is also not valid if it was rendered in the past. A promise in exchange for a performance is not legally enforceable until the performance is tendered because this concept does not exist before then, although beginning performance may stand in for this concept and create an option. Two formulations of this concept are the “bargained-for exchange” test and the “benefit-detriment” test. This concept distinguishes a legally enforceable duty from an illusory promise or a gift. Name this concept required for contract formation alongside offer and acceptance.</w:t>
      </w:r>
    </w:p>
    <w:p w:rsidR="00586904" w:rsidRPr="00C93B37" w:rsidRDefault="00586904" w:rsidP="00586904">
      <w:pPr>
        <w:rPr>
          <w:rFonts w:ascii="Arial" w:hAnsi="Arial" w:cs="Arial"/>
          <w:sz w:val="22"/>
          <w:szCs w:val="22"/>
        </w:rPr>
      </w:pPr>
      <w:r w:rsidRPr="00090B3B">
        <w:rPr>
          <w:rFonts w:ascii="Arial" w:hAnsi="Arial" w:cs="Arial"/>
          <w:sz w:val="22"/>
          <w:szCs w:val="22"/>
        </w:rPr>
        <w:t xml:space="preserve">ANSWER: </w:t>
      </w:r>
      <w:r>
        <w:rPr>
          <w:rFonts w:ascii="Arial" w:hAnsi="Arial" w:cs="Arial"/>
          <w:sz w:val="22"/>
          <w:szCs w:val="22"/>
        </w:rPr>
        <w:t xml:space="preserve">mutuality of </w:t>
      </w:r>
      <w:r w:rsidRPr="00435385">
        <w:rPr>
          <w:rFonts w:ascii="Arial" w:hAnsi="Arial" w:cs="Arial"/>
          <w:b/>
          <w:sz w:val="22"/>
          <w:szCs w:val="22"/>
          <w:u w:val="single"/>
        </w:rPr>
        <w:t>consideration</w:t>
      </w:r>
      <w:r>
        <w:rPr>
          <w:rFonts w:ascii="Arial" w:hAnsi="Arial" w:cs="Arial"/>
          <w:sz w:val="22"/>
          <w:szCs w:val="22"/>
        </w:rPr>
        <w:t xml:space="preserve"> [prompt on </w:t>
      </w:r>
      <w:r>
        <w:rPr>
          <w:rFonts w:ascii="Arial" w:hAnsi="Arial" w:cs="Arial"/>
          <w:b/>
          <w:sz w:val="22"/>
          <w:szCs w:val="22"/>
          <w:u w:val="single"/>
        </w:rPr>
        <w:t>mutuality</w:t>
      </w:r>
      <w:r>
        <w:rPr>
          <w:rFonts w:ascii="Arial" w:hAnsi="Arial" w:cs="Arial"/>
          <w:sz w:val="22"/>
          <w:szCs w:val="22"/>
        </w:rPr>
        <w:t>]</w:t>
      </w:r>
    </w:p>
    <w:p w:rsidR="00586904" w:rsidRDefault="00586904" w:rsidP="00586904">
      <w:pPr>
        <w:rPr>
          <w:rFonts w:ascii="Arial" w:hAnsi="Arial" w:cs="Arial"/>
          <w:sz w:val="22"/>
          <w:szCs w:val="22"/>
        </w:rPr>
      </w:pPr>
    </w:p>
    <w:p w:rsidR="00586904" w:rsidRPr="00090B3B" w:rsidRDefault="00586904" w:rsidP="00586904">
      <w:pPr>
        <w:rPr>
          <w:rFonts w:ascii="Arial" w:hAnsi="Arial" w:cs="Arial"/>
          <w:sz w:val="22"/>
          <w:szCs w:val="22"/>
        </w:rPr>
      </w:pPr>
      <w:r w:rsidRPr="00090B3B">
        <w:rPr>
          <w:rFonts w:ascii="Arial" w:hAnsi="Arial" w:cs="Arial"/>
          <w:sz w:val="22"/>
          <w:szCs w:val="22"/>
        </w:rPr>
        <w:t>Team and position required; for example</w:t>
      </w:r>
      <w:r>
        <w:rPr>
          <w:rFonts w:ascii="Arial" w:hAnsi="Arial" w:cs="Arial"/>
          <w:sz w:val="22"/>
          <w:szCs w:val="22"/>
        </w:rPr>
        <w:t>,</w:t>
      </w:r>
      <w:r w:rsidRPr="00090B3B">
        <w:rPr>
          <w:rFonts w:ascii="Arial" w:hAnsi="Arial" w:cs="Arial"/>
          <w:sz w:val="22"/>
          <w:szCs w:val="22"/>
        </w:rPr>
        <w:t xml:space="preserve"> “catcher for the Seattle </w:t>
      </w:r>
      <w:r>
        <w:rPr>
          <w:rFonts w:ascii="Arial" w:hAnsi="Arial" w:cs="Arial"/>
          <w:sz w:val="22"/>
          <w:szCs w:val="22"/>
        </w:rPr>
        <w:t>Mariners</w:t>
      </w:r>
      <w:r w:rsidRPr="00090B3B">
        <w:rPr>
          <w:rFonts w:ascii="Arial" w:hAnsi="Arial" w:cs="Arial"/>
          <w:sz w:val="22"/>
          <w:szCs w:val="22"/>
        </w:rPr>
        <w:t xml:space="preserve">.” </w:t>
      </w:r>
      <w:r>
        <w:rPr>
          <w:rFonts w:ascii="Arial" w:hAnsi="Arial" w:cs="Arial"/>
          <w:sz w:val="22"/>
          <w:szCs w:val="22"/>
        </w:rPr>
        <w:t xml:space="preserve">One man who played this position for this team won the 1985 AL MVP award and was the first player to hit six grand slams in a single season. During the 1950s and early ‘60s, this position for this team was played by a man nicknamed “Moose.” The current manager of the Dodgers primarily played this position for this team. Another player took over this position for this team from Wally </w:t>
      </w:r>
      <w:proofErr w:type="spellStart"/>
      <w:r>
        <w:rPr>
          <w:rFonts w:ascii="Arial" w:hAnsi="Arial" w:cs="Arial"/>
          <w:sz w:val="22"/>
          <w:szCs w:val="22"/>
        </w:rPr>
        <w:t>Pipp</w:t>
      </w:r>
      <w:proofErr w:type="spellEnd"/>
      <w:r>
        <w:rPr>
          <w:rFonts w:ascii="Arial" w:hAnsi="Arial" w:cs="Arial"/>
          <w:sz w:val="22"/>
          <w:szCs w:val="22"/>
        </w:rPr>
        <w:t xml:space="preserve"> in 1925 and didn’t relinquish it for over 2,100 games. Don Mattingly once played what </w:t>
      </w:r>
      <w:r w:rsidRPr="00090B3B">
        <w:rPr>
          <w:rFonts w:ascii="Arial" w:hAnsi="Arial" w:cs="Arial"/>
          <w:sz w:val="22"/>
          <w:szCs w:val="22"/>
        </w:rPr>
        <w:t>position</w:t>
      </w:r>
      <w:r>
        <w:rPr>
          <w:rFonts w:ascii="Arial" w:hAnsi="Arial" w:cs="Arial"/>
          <w:sz w:val="22"/>
          <w:szCs w:val="22"/>
        </w:rPr>
        <w:t xml:space="preserve"> for what team,</w:t>
      </w:r>
      <w:r w:rsidRPr="00090B3B">
        <w:rPr>
          <w:rFonts w:ascii="Arial" w:hAnsi="Arial" w:cs="Arial"/>
          <w:sz w:val="22"/>
          <w:szCs w:val="22"/>
        </w:rPr>
        <w:t xml:space="preserve"> currently played by Mark Teixeira</w:t>
      </w:r>
      <w:r>
        <w:rPr>
          <w:rFonts w:ascii="Arial" w:hAnsi="Arial" w:cs="Arial"/>
          <w:sz w:val="22"/>
          <w:szCs w:val="22"/>
        </w:rPr>
        <w:t xml:space="preserve"> and</w:t>
      </w:r>
      <w:r w:rsidRPr="00090B3B">
        <w:rPr>
          <w:rFonts w:ascii="Arial" w:hAnsi="Arial" w:cs="Arial"/>
          <w:sz w:val="22"/>
          <w:szCs w:val="22"/>
        </w:rPr>
        <w:t xml:space="preserve"> once manned by baseball’s “Iron Horse,” Lou Gehrig</w:t>
      </w:r>
      <w:r>
        <w:rPr>
          <w:rFonts w:ascii="Arial" w:hAnsi="Arial" w:cs="Arial"/>
          <w:sz w:val="22"/>
          <w:szCs w:val="22"/>
        </w:rPr>
        <w:t>?</w:t>
      </w:r>
    </w:p>
    <w:p w:rsidR="00586904" w:rsidRPr="00090B3B" w:rsidRDefault="00586904" w:rsidP="00586904">
      <w:pPr>
        <w:rPr>
          <w:rFonts w:ascii="Arial" w:hAnsi="Arial" w:cs="Arial"/>
          <w:sz w:val="22"/>
          <w:szCs w:val="22"/>
        </w:rPr>
      </w:pPr>
      <w:r w:rsidRPr="00090B3B">
        <w:rPr>
          <w:rFonts w:ascii="Arial" w:hAnsi="Arial" w:cs="Arial"/>
          <w:sz w:val="22"/>
          <w:szCs w:val="22"/>
        </w:rPr>
        <w:t xml:space="preserve">ANSWER: </w:t>
      </w:r>
      <w:r w:rsidRPr="00090B3B">
        <w:rPr>
          <w:rFonts w:ascii="Arial" w:hAnsi="Arial" w:cs="Arial"/>
          <w:b/>
          <w:sz w:val="22"/>
          <w:szCs w:val="22"/>
          <w:u w:val="single"/>
        </w:rPr>
        <w:t>first baseman</w:t>
      </w:r>
      <w:r w:rsidRPr="00090B3B">
        <w:rPr>
          <w:rFonts w:ascii="Arial" w:hAnsi="Arial" w:cs="Arial"/>
          <w:sz w:val="22"/>
          <w:szCs w:val="22"/>
        </w:rPr>
        <w:t xml:space="preserve"> for the New York </w:t>
      </w:r>
      <w:r w:rsidRPr="00090B3B">
        <w:rPr>
          <w:rFonts w:ascii="Arial" w:hAnsi="Arial" w:cs="Arial"/>
          <w:b/>
          <w:sz w:val="22"/>
          <w:szCs w:val="22"/>
          <w:u w:val="single"/>
        </w:rPr>
        <w:t>Yankees</w:t>
      </w:r>
      <w:r w:rsidRPr="00090B3B">
        <w:rPr>
          <w:rFonts w:ascii="Arial" w:hAnsi="Arial" w:cs="Arial"/>
          <w:sz w:val="22"/>
          <w:szCs w:val="22"/>
        </w:rPr>
        <w:t xml:space="preserve"> [prompt on </w:t>
      </w:r>
      <w:r w:rsidRPr="00090B3B">
        <w:rPr>
          <w:rFonts w:ascii="Arial" w:hAnsi="Arial" w:cs="Arial"/>
          <w:b/>
          <w:sz w:val="22"/>
          <w:szCs w:val="22"/>
          <w:u w:val="single"/>
        </w:rPr>
        <w:t>first baseman for New York</w:t>
      </w:r>
      <w:r w:rsidRPr="00090B3B">
        <w:rPr>
          <w:rFonts w:ascii="Arial" w:hAnsi="Arial" w:cs="Arial"/>
          <w:sz w:val="22"/>
          <w:szCs w:val="22"/>
        </w:rPr>
        <w:t>]</w:t>
      </w:r>
    </w:p>
    <w:p w:rsidR="00586904" w:rsidRPr="00090B3B" w:rsidRDefault="00586904" w:rsidP="00586904">
      <w:pPr>
        <w:rPr>
          <w:rFonts w:ascii="Arial" w:hAnsi="Arial" w:cs="Arial"/>
          <w:sz w:val="22"/>
          <w:szCs w:val="22"/>
        </w:rPr>
      </w:pPr>
    </w:p>
    <w:p w:rsidR="00586904" w:rsidRPr="00090B3B" w:rsidRDefault="00586904" w:rsidP="00586904">
      <w:pPr>
        <w:rPr>
          <w:rFonts w:ascii="Arial" w:hAnsi="Arial" w:cs="Arial"/>
          <w:sz w:val="22"/>
          <w:szCs w:val="22"/>
        </w:rPr>
      </w:pPr>
      <w:r>
        <w:rPr>
          <w:rFonts w:ascii="Arial" w:hAnsi="Arial" w:cs="Arial"/>
          <w:sz w:val="22"/>
          <w:szCs w:val="22"/>
        </w:rPr>
        <w:t xml:space="preserve">This concept may be shown when a statute was violated, the plaintiff was in the class of people that the statute protected, and that the statute protected against the harm suffered. A heightened formulation of this concept is invoked when a child is performing “adult activities.” The most common formulation of this concept was outlined in the 1837 English case </w:t>
      </w:r>
      <w:r>
        <w:rPr>
          <w:rFonts w:ascii="Arial" w:hAnsi="Arial" w:cs="Arial"/>
          <w:i/>
          <w:sz w:val="22"/>
          <w:szCs w:val="22"/>
        </w:rPr>
        <w:t xml:space="preserve">Vaughn v. </w:t>
      </w:r>
      <w:proofErr w:type="spellStart"/>
      <w:r>
        <w:rPr>
          <w:rFonts w:ascii="Arial" w:hAnsi="Arial" w:cs="Arial"/>
          <w:i/>
          <w:sz w:val="22"/>
          <w:szCs w:val="22"/>
        </w:rPr>
        <w:t>Menlove</w:t>
      </w:r>
      <w:proofErr w:type="spellEnd"/>
      <w:r>
        <w:rPr>
          <w:rFonts w:ascii="Arial" w:hAnsi="Arial" w:cs="Arial"/>
          <w:sz w:val="22"/>
          <w:szCs w:val="22"/>
        </w:rPr>
        <w:t>, a case involving a spontaneously combusting haystack. This concept is established through expert testimony of common medical practice in medical malpractice cases. Name this concept, the degree of caution required of a person with a legal duty, exemplified by the “reasonably prudent person” formulation.</w:t>
      </w:r>
    </w:p>
    <w:p w:rsidR="00586904" w:rsidRPr="00090B3B" w:rsidRDefault="00586904" w:rsidP="00586904">
      <w:pPr>
        <w:rPr>
          <w:rFonts w:ascii="Arial" w:hAnsi="Arial" w:cs="Arial"/>
          <w:sz w:val="22"/>
          <w:szCs w:val="22"/>
        </w:rPr>
      </w:pPr>
      <w:r w:rsidRPr="00090B3B">
        <w:rPr>
          <w:rFonts w:ascii="Arial" w:hAnsi="Arial" w:cs="Arial"/>
          <w:sz w:val="22"/>
          <w:szCs w:val="22"/>
        </w:rPr>
        <w:t xml:space="preserve">ANSWER: </w:t>
      </w:r>
      <w:r w:rsidRPr="005B7965">
        <w:rPr>
          <w:rFonts w:ascii="Arial" w:hAnsi="Arial" w:cs="Arial"/>
          <w:b/>
          <w:sz w:val="22"/>
          <w:szCs w:val="22"/>
          <w:u w:val="single"/>
        </w:rPr>
        <w:t>standard of care</w:t>
      </w:r>
    </w:p>
    <w:p w:rsidR="00586904" w:rsidRPr="00090B3B" w:rsidRDefault="00586904" w:rsidP="00586904">
      <w:pPr>
        <w:rPr>
          <w:rFonts w:ascii="Arial" w:hAnsi="Arial" w:cs="Arial"/>
          <w:sz w:val="22"/>
          <w:szCs w:val="22"/>
        </w:rPr>
      </w:pPr>
    </w:p>
    <w:p w:rsidR="00586904" w:rsidRPr="003A3D48" w:rsidRDefault="00586904" w:rsidP="00586904">
      <w:pPr>
        <w:rPr>
          <w:rFonts w:ascii="Arial" w:hAnsi="Arial" w:cs="Arial"/>
          <w:sz w:val="22"/>
          <w:szCs w:val="22"/>
        </w:rPr>
      </w:pPr>
      <w:r>
        <w:rPr>
          <w:rFonts w:ascii="Arial" w:hAnsi="Arial" w:cs="Arial"/>
          <w:sz w:val="22"/>
          <w:szCs w:val="22"/>
        </w:rPr>
        <w:t xml:space="preserve">This power, in addition to Section 5 of the Fourteenth Amendment, was used to justify a provision of the Violence </w:t>
      </w:r>
      <w:proofErr w:type="gramStart"/>
      <w:r>
        <w:rPr>
          <w:rFonts w:ascii="Arial" w:hAnsi="Arial" w:cs="Arial"/>
          <w:sz w:val="22"/>
          <w:szCs w:val="22"/>
        </w:rPr>
        <w:t>Against</w:t>
      </w:r>
      <w:proofErr w:type="gramEnd"/>
      <w:r>
        <w:rPr>
          <w:rFonts w:ascii="Arial" w:hAnsi="Arial" w:cs="Arial"/>
          <w:sz w:val="22"/>
          <w:szCs w:val="22"/>
        </w:rPr>
        <w:t xml:space="preserve"> Women Act that was struck down in </w:t>
      </w:r>
      <w:r>
        <w:rPr>
          <w:rFonts w:ascii="Arial" w:hAnsi="Arial" w:cs="Arial"/>
          <w:i/>
          <w:sz w:val="22"/>
          <w:szCs w:val="22"/>
        </w:rPr>
        <w:t>United States v. Morrison</w:t>
      </w:r>
      <w:r>
        <w:rPr>
          <w:rFonts w:ascii="Arial" w:hAnsi="Arial" w:cs="Arial"/>
          <w:sz w:val="22"/>
          <w:szCs w:val="22"/>
        </w:rPr>
        <w:t>.</w:t>
      </w:r>
      <w:r>
        <w:rPr>
          <w:rFonts w:ascii="Arial" w:hAnsi="Arial" w:cs="Arial"/>
          <w:i/>
          <w:sz w:val="22"/>
          <w:szCs w:val="22"/>
        </w:rPr>
        <w:t xml:space="preserve"> </w:t>
      </w:r>
      <w:r>
        <w:rPr>
          <w:rFonts w:ascii="Arial" w:hAnsi="Arial" w:cs="Arial"/>
          <w:sz w:val="22"/>
          <w:szCs w:val="22"/>
        </w:rPr>
        <w:t xml:space="preserve">The Supreme Court ruled that this power could not justify the Gun Free Schools Act in the 1995 case </w:t>
      </w:r>
      <w:r>
        <w:rPr>
          <w:rFonts w:ascii="Arial" w:hAnsi="Arial" w:cs="Arial"/>
          <w:i/>
          <w:sz w:val="22"/>
          <w:szCs w:val="22"/>
        </w:rPr>
        <w:t>United States v. Lopez</w:t>
      </w:r>
      <w:r>
        <w:rPr>
          <w:rFonts w:ascii="Arial" w:hAnsi="Arial" w:cs="Arial"/>
          <w:sz w:val="22"/>
          <w:szCs w:val="22"/>
        </w:rPr>
        <w:t>.</w:t>
      </w:r>
      <w:r>
        <w:rPr>
          <w:rFonts w:ascii="Arial" w:hAnsi="Arial" w:cs="Arial"/>
          <w:i/>
          <w:sz w:val="22"/>
          <w:szCs w:val="22"/>
        </w:rPr>
        <w:t xml:space="preserve"> </w:t>
      </w:r>
      <w:proofErr w:type="spellStart"/>
      <w:r>
        <w:rPr>
          <w:rFonts w:ascii="Arial" w:hAnsi="Arial" w:cs="Arial"/>
          <w:i/>
          <w:sz w:val="22"/>
          <w:szCs w:val="22"/>
        </w:rPr>
        <w:t>Wickard</w:t>
      </w:r>
      <w:proofErr w:type="spellEnd"/>
      <w:r>
        <w:rPr>
          <w:rFonts w:ascii="Arial" w:hAnsi="Arial" w:cs="Arial"/>
          <w:i/>
          <w:sz w:val="22"/>
          <w:szCs w:val="22"/>
        </w:rPr>
        <w:t xml:space="preserve"> v. </w:t>
      </w:r>
      <w:proofErr w:type="spellStart"/>
      <w:r>
        <w:rPr>
          <w:rFonts w:ascii="Arial" w:hAnsi="Arial" w:cs="Arial"/>
          <w:i/>
          <w:sz w:val="22"/>
          <w:szCs w:val="22"/>
        </w:rPr>
        <w:t>Filburn</w:t>
      </w:r>
      <w:proofErr w:type="spellEnd"/>
      <w:r>
        <w:rPr>
          <w:rFonts w:ascii="Arial" w:hAnsi="Arial" w:cs="Arial"/>
          <w:sz w:val="22"/>
          <w:szCs w:val="22"/>
        </w:rPr>
        <w:t xml:space="preserve"> established the aggregation theory of this enumerated power, which was the justification of the law central to the John Marshall opinion in </w:t>
      </w:r>
      <w:r>
        <w:rPr>
          <w:rFonts w:ascii="Arial" w:hAnsi="Arial" w:cs="Arial"/>
          <w:i/>
          <w:sz w:val="22"/>
          <w:szCs w:val="22"/>
        </w:rPr>
        <w:t>Gibbons v. Ogden</w:t>
      </w:r>
      <w:r>
        <w:rPr>
          <w:rFonts w:ascii="Arial" w:hAnsi="Arial" w:cs="Arial"/>
          <w:sz w:val="22"/>
          <w:szCs w:val="22"/>
        </w:rPr>
        <w:t>.</w:t>
      </w:r>
      <w:r>
        <w:rPr>
          <w:rFonts w:ascii="Arial" w:hAnsi="Arial" w:cs="Arial"/>
          <w:i/>
          <w:sz w:val="22"/>
          <w:szCs w:val="22"/>
        </w:rPr>
        <w:t xml:space="preserve"> </w:t>
      </w:r>
      <w:r>
        <w:rPr>
          <w:rFonts w:ascii="Arial" w:hAnsi="Arial" w:cs="Arial"/>
          <w:sz w:val="22"/>
          <w:szCs w:val="22"/>
        </w:rPr>
        <w:t>This power limits the ability of the states to write laws that place a burden on trade in its “dormant” form. Name this power that allows Congress to regulate interstate trade.</w:t>
      </w:r>
    </w:p>
    <w:p w:rsidR="00586904" w:rsidRPr="00090B3B" w:rsidRDefault="00586904" w:rsidP="00586904">
      <w:pPr>
        <w:rPr>
          <w:rFonts w:ascii="Arial" w:hAnsi="Arial" w:cs="Arial"/>
          <w:sz w:val="22"/>
          <w:szCs w:val="22"/>
        </w:rPr>
      </w:pPr>
      <w:r w:rsidRPr="00090B3B">
        <w:rPr>
          <w:rFonts w:ascii="Arial" w:hAnsi="Arial" w:cs="Arial"/>
          <w:sz w:val="22"/>
          <w:szCs w:val="22"/>
        </w:rPr>
        <w:t xml:space="preserve">ANSWER: </w:t>
      </w:r>
      <w:r w:rsidRPr="003A3D48">
        <w:rPr>
          <w:rFonts w:ascii="Arial" w:hAnsi="Arial" w:cs="Arial"/>
          <w:b/>
          <w:sz w:val="22"/>
          <w:szCs w:val="22"/>
          <w:u w:val="single"/>
        </w:rPr>
        <w:t>commerce</w:t>
      </w:r>
      <w:r>
        <w:rPr>
          <w:rFonts w:ascii="Arial" w:hAnsi="Arial" w:cs="Arial"/>
          <w:sz w:val="22"/>
          <w:szCs w:val="22"/>
        </w:rPr>
        <w:t xml:space="preserve"> power [or </w:t>
      </w:r>
      <w:r w:rsidRPr="003A3D48">
        <w:rPr>
          <w:rFonts w:ascii="Arial" w:hAnsi="Arial" w:cs="Arial"/>
          <w:b/>
          <w:sz w:val="22"/>
          <w:szCs w:val="22"/>
          <w:u w:val="single"/>
        </w:rPr>
        <w:t>commerce clause</w:t>
      </w:r>
      <w:r>
        <w:rPr>
          <w:rFonts w:ascii="Arial" w:hAnsi="Arial" w:cs="Arial"/>
          <w:sz w:val="22"/>
          <w:szCs w:val="22"/>
        </w:rPr>
        <w:t>]</w:t>
      </w:r>
    </w:p>
    <w:p w:rsidR="00586904" w:rsidRPr="00090B3B" w:rsidRDefault="00586904" w:rsidP="00586904">
      <w:pPr>
        <w:rPr>
          <w:rFonts w:ascii="Arial" w:hAnsi="Arial" w:cs="Arial"/>
          <w:sz w:val="22"/>
          <w:szCs w:val="22"/>
        </w:rPr>
      </w:pPr>
    </w:p>
    <w:p w:rsidR="00586904" w:rsidRPr="00873CC8" w:rsidRDefault="00586904" w:rsidP="00586904">
      <w:pPr>
        <w:rPr>
          <w:rFonts w:ascii="Arial" w:hAnsi="Arial" w:cs="Arial"/>
          <w:sz w:val="22"/>
          <w:szCs w:val="22"/>
        </w:rPr>
      </w:pPr>
      <w:r>
        <w:rPr>
          <w:rFonts w:ascii="Arial" w:hAnsi="Arial" w:cs="Arial"/>
          <w:sz w:val="22"/>
          <w:szCs w:val="22"/>
        </w:rPr>
        <w:t xml:space="preserve">The requirements for this right are laid out in </w:t>
      </w:r>
      <w:r>
        <w:rPr>
          <w:rFonts w:ascii="Arial" w:hAnsi="Arial" w:cs="Arial"/>
          <w:i/>
          <w:sz w:val="22"/>
          <w:szCs w:val="22"/>
        </w:rPr>
        <w:t>Brewer v. Williams</w:t>
      </w:r>
      <w:r>
        <w:rPr>
          <w:rFonts w:ascii="Arial" w:hAnsi="Arial" w:cs="Arial"/>
          <w:sz w:val="22"/>
          <w:szCs w:val="22"/>
        </w:rPr>
        <w:t>.</w:t>
      </w:r>
      <w:r>
        <w:rPr>
          <w:rFonts w:ascii="Arial" w:hAnsi="Arial" w:cs="Arial"/>
          <w:i/>
          <w:sz w:val="22"/>
          <w:szCs w:val="22"/>
        </w:rPr>
        <w:t xml:space="preserve"> </w:t>
      </w:r>
      <w:r>
        <w:rPr>
          <w:rFonts w:ascii="Arial" w:hAnsi="Arial" w:cs="Arial"/>
          <w:sz w:val="22"/>
          <w:szCs w:val="22"/>
        </w:rPr>
        <w:t xml:space="preserve">In </w:t>
      </w:r>
      <w:r>
        <w:rPr>
          <w:rFonts w:ascii="Arial" w:hAnsi="Arial" w:cs="Arial"/>
          <w:i/>
          <w:sz w:val="22"/>
          <w:szCs w:val="22"/>
        </w:rPr>
        <w:t>Strickland v. Washington</w:t>
      </w:r>
      <w:r>
        <w:rPr>
          <w:rFonts w:ascii="Arial" w:hAnsi="Arial" w:cs="Arial"/>
          <w:sz w:val="22"/>
          <w:szCs w:val="22"/>
        </w:rPr>
        <w:t xml:space="preserve">, the Supreme Court read an effectiveness requirement into this right. </w:t>
      </w:r>
      <w:r w:rsidRPr="00090B3B">
        <w:rPr>
          <w:rFonts w:ascii="Arial" w:hAnsi="Arial" w:cs="Arial"/>
          <w:sz w:val="22"/>
          <w:szCs w:val="22"/>
        </w:rPr>
        <w:t xml:space="preserve">This right </w:t>
      </w:r>
      <w:r>
        <w:rPr>
          <w:rFonts w:ascii="Arial" w:hAnsi="Arial" w:cs="Arial"/>
          <w:sz w:val="22"/>
          <w:szCs w:val="22"/>
        </w:rPr>
        <w:t xml:space="preserve">was incorporated to the states through the Fourteenth Amendment in a case in which Abe Fortas argued for the </w:t>
      </w:r>
      <w:r>
        <w:rPr>
          <w:rFonts w:ascii="Arial" w:hAnsi="Arial" w:cs="Arial"/>
          <w:sz w:val="22"/>
          <w:szCs w:val="22"/>
        </w:rPr>
        <w:lastRenderedPageBreak/>
        <w:t xml:space="preserve">appellant, who wrote his brief by hand. This right attaches after charging and only for specific offenses, so it is not applicable at grand jury proceedings. This right must be satisfied at all critical stages of the prosecution. </w:t>
      </w:r>
      <w:r w:rsidRPr="00090B3B">
        <w:rPr>
          <w:rFonts w:ascii="Arial" w:hAnsi="Arial" w:cs="Arial"/>
          <w:sz w:val="22"/>
          <w:szCs w:val="22"/>
        </w:rPr>
        <w:t xml:space="preserve">Name this right </w:t>
      </w:r>
      <w:r>
        <w:rPr>
          <w:rFonts w:ascii="Arial" w:hAnsi="Arial" w:cs="Arial"/>
          <w:sz w:val="22"/>
          <w:szCs w:val="22"/>
        </w:rPr>
        <w:t xml:space="preserve">codified in the Sixth Amendment, the existence of which prompted the Supreme Court to require that states provide public defenders in </w:t>
      </w:r>
      <w:r>
        <w:rPr>
          <w:rFonts w:ascii="Arial" w:hAnsi="Arial" w:cs="Arial"/>
          <w:i/>
          <w:sz w:val="22"/>
          <w:szCs w:val="22"/>
        </w:rPr>
        <w:t>Gideon v. Wainwright</w:t>
      </w:r>
      <w:r>
        <w:rPr>
          <w:rFonts w:ascii="Arial" w:hAnsi="Arial" w:cs="Arial"/>
          <w:sz w:val="22"/>
          <w:szCs w:val="22"/>
        </w:rPr>
        <w:t>.</w:t>
      </w:r>
    </w:p>
    <w:p w:rsidR="00586904" w:rsidRPr="00090B3B" w:rsidRDefault="00586904" w:rsidP="00586904">
      <w:pPr>
        <w:rPr>
          <w:rFonts w:ascii="Arial" w:hAnsi="Arial" w:cs="Arial"/>
          <w:sz w:val="22"/>
          <w:szCs w:val="22"/>
        </w:rPr>
      </w:pPr>
      <w:r w:rsidRPr="00090B3B">
        <w:rPr>
          <w:rFonts w:ascii="Arial" w:hAnsi="Arial" w:cs="Arial"/>
          <w:sz w:val="22"/>
          <w:szCs w:val="22"/>
        </w:rPr>
        <w:t xml:space="preserve">ANSWER: right to </w:t>
      </w:r>
      <w:r w:rsidRPr="00090B3B">
        <w:rPr>
          <w:rFonts w:ascii="Arial" w:hAnsi="Arial" w:cs="Arial"/>
          <w:b/>
          <w:sz w:val="22"/>
          <w:szCs w:val="22"/>
          <w:u w:val="single"/>
        </w:rPr>
        <w:t>counsel</w:t>
      </w:r>
      <w:r w:rsidRPr="00090B3B">
        <w:rPr>
          <w:rFonts w:ascii="Arial" w:hAnsi="Arial" w:cs="Arial"/>
          <w:sz w:val="22"/>
          <w:szCs w:val="22"/>
        </w:rPr>
        <w:t xml:space="preserve"> [accept anything involving the </w:t>
      </w:r>
      <w:r w:rsidRPr="00090B3B">
        <w:rPr>
          <w:rFonts w:ascii="Arial" w:hAnsi="Arial" w:cs="Arial"/>
          <w:b/>
          <w:sz w:val="22"/>
          <w:szCs w:val="22"/>
          <w:u w:val="single"/>
        </w:rPr>
        <w:t>right to have a lawyer</w:t>
      </w:r>
      <w:r w:rsidRPr="00090B3B">
        <w:rPr>
          <w:rFonts w:ascii="Arial" w:hAnsi="Arial" w:cs="Arial"/>
          <w:sz w:val="22"/>
          <w:szCs w:val="22"/>
        </w:rPr>
        <w:t>]</w:t>
      </w:r>
    </w:p>
    <w:p w:rsidR="00586904" w:rsidRPr="00090B3B" w:rsidRDefault="00586904" w:rsidP="00586904">
      <w:pPr>
        <w:rPr>
          <w:rFonts w:ascii="Arial" w:hAnsi="Arial" w:cs="Arial"/>
          <w:sz w:val="22"/>
          <w:szCs w:val="22"/>
        </w:rPr>
      </w:pPr>
    </w:p>
    <w:p w:rsidR="00586904" w:rsidRPr="00090B3B" w:rsidRDefault="00586904" w:rsidP="00586904">
      <w:pPr>
        <w:rPr>
          <w:rFonts w:ascii="Arial" w:hAnsi="Arial" w:cs="Arial"/>
          <w:sz w:val="22"/>
          <w:szCs w:val="22"/>
        </w:rPr>
      </w:pPr>
    </w:p>
    <w:p w:rsidR="00586904" w:rsidRDefault="00586904" w:rsidP="00586904">
      <w:pPr>
        <w:rPr>
          <w:rFonts w:ascii="Arial" w:hAnsi="Arial" w:cs="Arial"/>
          <w:sz w:val="22"/>
          <w:szCs w:val="22"/>
        </w:rPr>
      </w:pPr>
    </w:p>
    <w:p w:rsidR="00586904" w:rsidRPr="00090B3B" w:rsidRDefault="00586904" w:rsidP="00586904">
      <w:pPr>
        <w:rPr>
          <w:rFonts w:ascii="Arial" w:hAnsi="Arial" w:cs="Arial"/>
          <w:sz w:val="22"/>
          <w:szCs w:val="22"/>
        </w:rPr>
      </w:pPr>
    </w:p>
    <w:p w:rsidR="00586904" w:rsidRPr="00090B3B" w:rsidRDefault="00586904" w:rsidP="00586904">
      <w:pPr>
        <w:rPr>
          <w:rFonts w:ascii="Arial" w:hAnsi="Arial" w:cs="Arial"/>
          <w:sz w:val="22"/>
          <w:szCs w:val="22"/>
        </w:rPr>
      </w:pPr>
    </w:p>
    <w:p w:rsidR="00586904" w:rsidRPr="00090B3B" w:rsidRDefault="00586904" w:rsidP="00586904">
      <w:pPr>
        <w:rPr>
          <w:rFonts w:ascii="Arial" w:hAnsi="Arial" w:cs="Arial"/>
          <w:sz w:val="22"/>
          <w:szCs w:val="22"/>
        </w:rPr>
      </w:pPr>
    </w:p>
    <w:p w:rsidR="00586904" w:rsidRDefault="00586904" w:rsidP="00586904">
      <w:pPr>
        <w:rPr>
          <w:rFonts w:ascii="Arial" w:hAnsi="Arial" w:cs="Arial"/>
          <w:sz w:val="22"/>
          <w:szCs w:val="22"/>
        </w:rPr>
      </w:pPr>
    </w:p>
    <w:p w:rsidR="00586904" w:rsidRPr="00586904" w:rsidRDefault="00586904">
      <w:pPr>
        <w:rPr>
          <w:rFonts w:ascii="Arial" w:hAnsi="Arial" w:cs="Arial"/>
          <w:sz w:val="22"/>
          <w:szCs w:val="22"/>
        </w:rPr>
      </w:pPr>
    </w:p>
    <w:sectPr w:rsidR="00586904" w:rsidRPr="00586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04"/>
    <w:rsid w:val="002A5EF6"/>
    <w:rsid w:val="003B6B61"/>
    <w:rsid w:val="0058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F6"/>
    <w:rPr>
      <w:sz w:val="24"/>
      <w:szCs w:val="24"/>
    </w:rPr>
  </w:style>
  <w:style w:type="paragraph" w:styleId="Heading1">
    <w:name w:val="heading 1"/>
    <w:basedOn w:val="Normal"/>
    <w:next w:val="Normal"/>
    <w:link w:val="Heading1Char"/>
    <w:uiPriority w:val="9"/>
    <w:qFormat/>
    <w:rsid w:val="002A5EF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A5EF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A5EF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A5EF6"/>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2A5EF6"/>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2A5EF6"/>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2A5EF6"/>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2A5EF6"/>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2A5EF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EF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A5EF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A5EF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A5EF6"/>
    <w:rPr>
      <w:rFonts w:cstheme="majorBidi"/>
      <w:b/>
      <w:bCs/>
      <w:sz w:val="28"/>
      <w:szCs w:val="28"/>
    </w:rPr>
  </w:style>
  <w:style w:type="character" w:customStyle="1" w:styleId="Heading5Char">
    <w:name w:val="Heading 5 Char"/>
    <w:basedOn w:val="DefaultParagraphFont"/>
    <w:link w:val="Heading5"/>
    <w:uiPriority w:val="9"/>
    <w:semiHidden/>
    <w:rsid w:val="002A5EF6"/>
    <w:rPr>
      <w:rFonts w:cstheme="majorBidi"/>
      <w:b/>
      <w:bCs/>
      <w:i/>
      <w:iCs/>
      <w:sz w:val="26"/>
      <w:szCs w:val="26"/>
    </w:rPr>
  </w:style>
  <w:style w:type="character" w:customStyle="1" w:styleId="Heading6Char">
    <w:name w:val="Heading 6 Char"/>
    <w:basedOn w:val="DefaultParagraphFont"/>
    <w:link w:val="Heading6"/>
    <w:uiPriority w:val="9"/>
    <w:semiHidden/>
    <w:rsid w:val="002A5EF6"/>
    <w:rPr>
      <w:rFonts w:cstheme="majorBidi"/>
      <w:b/>
      <w:bCs/>
    </w:rPr>
  </w:style>
  <w:style w:type="character" w:customStyle="1" w:styleId="Heading7Char">
    <w:name w:val="Heading 7 Char"/>
    <w:basedOn w:val="DefaultParagraphFont"/>
    <w:link w:val="Heading7"/>
    <w:uiPriority w:val="9"/>
    <w:semiHidden/>
    <w:rsid w:val="002A5EF6"/>
    <w:rPr>
      <w:rFonts w:cstheme="majorBidi"/>
      <w:sz w:val="24"/>
      <w:szCs w:val="24"/>
    </w:rPr>
  </w:style>
  <w:style w:type="character" w:customStyle="1" w:styleId="Heading8Char">
    <w:name w:val="Heading 8 Char"/>
    <w:basedOn w:val="DefaultParagraphFont"/>
    <w:link w:val="Heading8"/>
    <w:uiPriority w:val="9"/>
    <w:semiHidden/>
    <w:rsid w:val="002A5EF6"/>
    <w:rPr>
      <w:rFonts w:cstheme="majorBidi"/>
      <w:i/>
      <w:iCs/>
      <w:sz w:val="24"/>
      <w:szCs w:val="24"/>
    </w:rPr>
  </w:style>
  <w:style w:type="character" w:customStyle="1" w:styleId="Heading9Char">
    <w:name w:val="Heading 9 Char"/>
    <w:basedOn w:val="DefaultParagraphFont"/>
    <w:link w:val="Heading9"/>
    <w:uiPriority w:val="9"/>
    <w:semiHidden/>
    <w:rsid w:val="002A5EF6"/>
    <w:rPr>
      <w:rFonts w:asciiTheme="majorHAnsi" w:eastAsiaTheme="majorEastAsia" w:hAnsiTheme="majorHAnsi" w:cstheme="majorBidi"/>
    </w:rPr>
  </w:style>
  <w:style w:type="paragraph" w:styleId="Title">
    <w:name w:val="Title"/>
    <w:basedOn w:val="Normal"/>
    <w:next w:val="Normal"/>
    <w:link w:val="TitleChar"/>
    <w:uiPriority w:val="10"/>
    <w:qFormat/>
    <w:rsid w:val="002A5EF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A5EF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2A5EF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A5EF6"/>
    <w:rPr>
      <w:rFonts w:asciiTheme="majorHAnsi" w:eastAsiaTheme="majorEastAsia" w:hAnsiTheme="majorHAnsi" w:cstheme="majorBidi"/>
      <w:sz w:val="24"/>
      <w:szCs w:val="24"/>
    </w:rPr>
  </w:style>
  <w:style w:type="character" w:styleId="Strong">
    <w:name w:val="Strong"/>
    <w:basedOn w:val="DefaultParagraphFont"/>
    <w:uiPriority w:val="22"/>
    <w:qFormat/>
    <w:rsid w:val="002A5EF6"/>
    <w:rPr>
      <w:b/>
      <w:bCs/>
    </w:rPr>
  </w:style>
  <w:style w:type="character" w:styleId="Emphasis">
    <w:name w:val="Emphasis"/>
    <w:basedOn w:val="DefaultParagraphFont"/>
    <w:uiPriority w:val="20"/>
    <w:qFormat/>
    <w:rsid w:val="002A5EF6"/>
    <w:rPr>
      <w:rFonts w:asciiTheme="minorHAnsi" w:hAnsiTheme="minorHAnsi"/>
      <w:b/>
      <w:i/>
      <w:iCs/>
    </w:rPr>
  </w:style>
  <w:style w:type="paragraph" w:styleId="NoSpacing">
    <w:name w:val="No Spacing"/>
    <w:basedOn w:val="Normal"/>
    <w:uiPriority w:val="1"/>
    <w:qFormat/>
    <w:rsid w:val="002A5EF6"/>
    <w:rPr>
      <w:szCs w:val="32"/>
    </w:rPr>
  </w:style>
  <w:style w:type="paragraph" w:styleId="ListParagraph">
    <w:name w:val="List Paragraph"/>
    <w:basedOn w:val="Normal"/>
    <w:uiPriority w:val="34"/>
    <w:qFormat/>
    <w:rsid w:val="002A5EF6"/>
    <w:pPr>
      <w:ind w:left="720"/>
      <w:contextualSpacing/>
    </w:pPr>
  </w:style>
  <w:style w:type="paragraph" w:styleId="Quote">
    <w:name w:val="Quote"/>
    <w:basedOn w:val="Normal"/>
    <w:next w:val="Normal"/>
    <w:link w:val="QuoteChar"/>
    <w:uiPriority w:val="29"/>
    <w:qFormat/>
    <w:rsid w:val="002A5EF6"/>
    <w:rPr>
      <w:i/>
    </w:rPr>
  </w:style>
  <w:style w:type="character" w:customStyle="1" w:styleId="QuoteChar">
    <w:name w:val="Quote Char"/>
    <w:basedOn w:val="DefaultParagraphFont"/>
    <w:link w:val="Quote"/>
    <w:uiPriority w:val="29"/>
    <w:rsid w:val="002A5EF6"/>
    <w:rPr>
      <w:i/>
      <w:sz w:val="24"/>
      <w:szCs w:val="24"/>
    </w:rPr>
  </w:style>
  <w:style w:type="paragraph" w:styleId="IntenseQuote">
    <w:name w:val="Intense Quote"/>
    <w:basedOn w:val="Normal"/>
    <w:next w:val="Normal"/>
    <w:link w:val="IntenseQuoteChar"/>
    <w:uiPriority w:val="30"/>
    <w:qFormat/>
    <w:rsid w:val="002A5EF6"/>
    <w:pPr>
      <w:ind w:left="720" w:right="720"/>
    </w:pPr>
    <w:rPr>
      <w:b/>
      <w:i/>
      <w:szCs w:val="22"/>
    </w:rPr>
  </w:style>
  <w:style w:type="character" w:customStyle="1" w:styleId="IntenseQuoteChar">
    <w:name w:val="Intense Quote Char"/>
    <w:basedOn w:val="DefaultParagraphFont"/>
    <w:link w:val="IntenseQuote"/>
    <w:uiPriority w:val="30"/>
    <w:rsid w:val="002A5EF6"/>
    <w:rPr>
      <w:b/>
      <w:i/>
      <w:sz w:val="24"/>
    </w:rPr>
  </w:style>
  <w:style w:type="character" w:styleId="SubtleEmphasis">
    <w:name w:val="Subtle Emphasis"/>
    <w:uiPriority w:val="19"/>
    <w:qFormat/>
    <w:rsid w:val="002A5EF6"/>
    <w:rPr>
      <w:i/>
      <w:color w:val="5A5A5A" w:themeColor="text1" w:themeTint="A5"/>
    </w:rPr>
  </w:style>
  <w:style w:type="character" w:styleId="IntenseEmphasis">
    <w:name w:val="Intense Emphasis"/>
    <w:basedOn w:val="DefaultParagraphFont"/>
    <w:uiPriority w:val="21"/>
    <w:qFormat/>
    <w:rsid w:val="002A5EF6"/>
    <w:rPr>
      <w:b/>
      <w:i/>
      <w:sz w:val="24"/>
      <w:szCs w:val="24"/>
      <w:u w:val="single"/>
    </w:rPr>
  </w:style>
  <w:style w:type="character" w:styleId="SubtleReference">
    <w:name w:val="Subtle Reference"/>
    <w:basedOn w:val="DefaultParagraphFont"/>
    <w:uiPriority w:val="31"/>
    <w:qFormat/>
    <w:rsid w:val="002A5EF6"/>
    <w:rPr>
      <w:sz w:val="24"/>
      <w:szCs w:val="24"/>
      <w:u w:val="single"/>
    </w:rPr>
  </w:style>
  <w:style w:type="character" w:styleId="IntenseReference">
    <w:name w:val="Intense Reference"/>
    <w:basedOn w:val="DefaultParagraphFont"/>
    <w:uiPriority w:val="32"/>
    <w:qFormat/>
    <w:rsid w:val="002A5EF6"/>
    <w:rPr>
      <w:b/>
      <w:sz w:val="24"/>
      <w:u w:val="single"/>
    </w:rPr>
  </w:style>
  <w:style w:type="character" w:styleId="BookTitle">
    <w:name w:val="Book Title"/>
    <w:basedOn w:val="DefaultParagraphFont"/>
    <w:uiPriority w:val="33"/>
    <w:qFormat/>
    <w:rsid w:val="002A5EF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5EF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F6"/>
    <w:rPr>
      <w:sz w:val="24"/>
      <w:szCs w:val="24"/>
    </w:rPr>
  </w:style>
  <w:style w:type="paragraph" w:styleId="Heading1">
    <w:name w:val="heading 1"/>
    <w:basedOn w:val="Normal"/>
    <w:next w:val="Normal"/>
    <w:link w:val="Heading1Char"/>
    <w:uiPriority w:val="9"/>
    <w:qFormat/>
    <w:rsid w:val="002A5EF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A5EF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A5EF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A5EF6"/>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2A5EF6"/>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2A5EF6"/>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2A5EF6"/>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2A5EF6"/>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2A5EF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EF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A5EF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A5EF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A5EF6"/>
    <w:rPr>
      <w:rFonts w:cstheme="majorBidi"/>
      <w:b/>
      <w:bCs/>
      <w:sz w:val="28"/>
      <w:szCs w:val="28"/>
    </w:rPr>
  </w:style>
  <w:style w:type="character" w:customStyle="1" w:styleId="Heading5Char">
    <w:name w:val="Heading 5 Char"/>
    <w:basedOn w:val="DefaultParagraphFont"/>
    <w:link w:val="Heading5"/>
    <w:uiPriority w:val="9"/>
    <w:semiHidden/>
    <w:rsid w:val="002A5EF6"/>
    <w:rPr>
      <w:rFonts w:cstheme="majorBidi"/>
      <w:b/>
      <w:bCs/>
      <w:i/>
      <w:iCs/>
      <w:sz w:val="26"/>
      <w:szCs w:val="26"/>
    </w:rPr>
  </w:style>
  <w:style w:type="character" w:customStyle="1" w:styleId="Heading6Char">
    <w:name w:val="Heading 6 Char"/>
    <w:basedOn w:val="DefaultParagraphFont"/>
    <w:link w:val="Heading6"/>
    <w:uiPriority w:val="9"/>
    <w:semiHidden/>
    <w:rsid w:val="002A5EF6"/>
    <w:rPr>
      <w:rFonts w:cstheme="majorBidi"/>
      <w:b/>
      <w:bCs/>
    </w:rPr>
  </w:style>
  <w:style w:type="character" w:customStyle="1" w:styleId="Heading7Char">
    <w:name w:val="Heading 7 Char"/>
    <w:basedOn w:val="DefaultParagraphFont"/>
    <w:link w:val="Heading7"/>
    <w:uiPriority w:val="9"/>
    <w:semiHidden/>
    <w:rsid w:val="002A5EF6"/>
    <w:rPr>
      <w:rFonts w:cstheme="majorBidi"/>
      <w:sz w:val="24"/>
      <w:szCs w:val="24"/>
    </w:rPr>
  </w:style>
  <w:style w:type="character" w:customStyle="1" w:styleId="Heading8Char">
    <w:name w:val="Heading 8 Char"/>
    <w:basedOn w:val="DefaultParagraphFont"/>
    <w:link w:val="Heading8"/>
    <w:uiPriority w:val="9"/>
    <w:semiHidden/>
    <w:rsid w:val="002A5EF6"/>
    <w:rPr>
      <w:rFonts w:cstheme="majorBidi"/>
      <w:i/>
      <w:iCs/>
      <w:sz w:val="24"/>
      <w:szCs w:val="24"/>
    </w:rPr>
  </w:style>
  <w:style w:type="character" w:customStyle="1" w:styleId="Heading9Char">
    <w:name w:val="Heading 9 Char"/>
    <w:basedOn w:val="DefaultParagraphFont"/>
    <w:link w:val="Heading9"/>
    <w:uiPriority w:val="9"/>
    <w:semiHidden/>
    <w:rsid w:val="002A5EF6"/>
    <w:rPr>
      <w:rFonts w:asciiTheme="majorHAnsi" w:eastAsiaTheme="majorEastAsia" w:hAnsiTheme="majorHAnsi" w:cstheme="majorBidi"/>
    </w:rPr>
  </w:style>
  <w:style w:type="paragraph" w:styleId="Title">
    <w:name w:val="Title"/>
    <w:basedOn w:val="Normal"/>
    <w:next w:val="Normal"/>
    <w:link w:val="TitleChar"/>
    <w:uiPriority w:val="10"/>
    <w:qFormat/>
    <w:rsid w:val="002A5EF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A5EF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2A5EF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A5EF6"/>
    <w:rPr>
      <w:rFonts w:asciiTheme="majorHAnsi" w:eastAsiaTheme="majorEastAsia" w:hAnsiTheme="majorHAnsi" w:cstheme="majorBidi"/>
      <w:sz w:val="24"/>
      <w:szCs w:val="24"/>
    </w:rPr>
  </w:style>
  <w:style w:type="character" w:styleId="Strong">
    <w:name w:val="Strong"/>
    <w:basedOn w:val="DefaultParagraphFont"/>
    <w:uiPriority w:val="22"/>
    <w:qFormat/>
    <w:rsid w:val="002A5EF6"/>
    <w:rPr>
      <w:b/>
      <w:bCs/>
    </w:rPr>
  </w:style>
  <w:style w:type="character" w:styleId="Emphasis">
    <w:name w:val="Emphasis"/>
    <w:basedOn w:val="DefaultParagraphFont"/>
    <w:uiPriority w:val="20"/>
    <w:qFormat/>
    <w:rsid w:val="002A5EF6"/>
    <w:rPr>
      <w:rFonts w:asciiTheme="minorHAnsi" w:hAnsiTheme="minorHAnsi"/>
      <w:b/>
      <w:i/>
      <w:iCs/>
    </w:rPr>
  </w:style>
  <w:style w:type="paragraph" w:styleId="NoSpacing">
    <w:name w:val="No Spacing"/>
    <w:basedOn w:val="Normal"/>
    <w:uiPriority w:val="1"/>
    <w:qFormat/>
    <w:rsid w:val="002A5EF6"/>
    <w:rPr>
      <w:szCs w:val="32"/>
    </w:rPr>
  </w:style>
  <w:style w:type="paragraph" w:styleId="ListParagraph">
    <w:name w:val="List Paragraph"/>
    <w:basedOn w:val="Normal"/>
    <w:uiPriority w:val="34"/>
    <w:qFormat/>
    <w:rsid w:val="002A5EF6"/>
    <w:pPr>
      <w:ind w:left="720"/>
      <w:contextualSpacing/>
    </w:pPr>
  </w:style>
  <w:style w:type="paragraph" w:styleId="Quote">
    <w:name w:val="Quote"/>
    <w:basedOn w:val="Normal"/>
    <w:next w:val="Normal"/>
    <w:link w:val="QuoteChar"/>
    <w:uiPriority w:val="29"/>
    <w:qFormat/>
    <w:rsid w:val="002A5EF6"/>
    <w:rPr>
      <w:i/>
    </w:rPr>
  </w:style>
  <w:style w:type="character" w:customStyle="1" w:styleId="QuoteChar">
    <w:name w:val="Quote Char"/>
    <w:basedOn w:val="DefaultParagraphFont"/>
    <w:link w:val="Quote"/>
    <w:uiPriority w:val="29"/>
    <w:rsid w:val="002A5EF6"/>
    <w:rPr>
      <w:i/>
      <w:sz w:val="24"/>
      <w:szCs w:val="24"/>
    </w:rPr>
  </w:style>
  <w:style w:type="paragraph" w:styleId="IntenseQuote">
    <w:name w:val="Intense Quote"/>
    <w:basedOn w:val="Normal"/>
    <w:next w:val="Normal"/>
    <w:link w:val="IntenseQuoteChar"/>
    <w:uiPriority w:val="30"/>
    <w:qFormat/>
    <w:rsid w:val="002A5EF6"/>
    <w:pPr>
      <w:ind w:left="720" w:right="720"/>
    </w:pPr>
    <w:rPr>
      <w:b/>
      <w:i/>
      <w:szCs w:val="22"/>
    </w:rPr>
  </w:style>
  <w:style w:type="character" w:customStyle="1" w:styleId="IntenseQuoteChar">
    <w:name w:val="Intense Quote Char"/>
    <w:basedOn w:val="DefaultParagraphFont"/>
    <w:link w:val="IntenseQuote"/>
    <w:uiPriority w:val="30"/>
    <w:rsid w:val="002A5EF6"/>
    <w:rPr>
      <w:b/>
      <w:i/>
      <w:sz w:val="24"/>
    </w:rPr>
  </w:style>
  <w:style w:type="character" w:styleId="SubtleEmphasis">
    <w:name w:val="Subtle Emphasis"/>
    <w:uiPriority w:val="19"/>
    <w:qFormat/>
    <w:rsid w:val="002A5EF6"/>
    <w:rPr>
      <w:i/>
      <w:color w:val="5A5A5A" w:themeColor="text1" w:themeTint="A5"/>
    </w:rPr>
  </w:style>
  <w:style w:type="character" w:styleId="IntenseEmphasis">
    <w:name w:val="Intense Emphasis"/>
    <w:basedOn w:val="DefaultParagraphFont"/>
    <w:uiPriority w:val="21"/>
    <w:qFormat/>
    <w:rsid w:val="002A5EF6"/>
    <w:rPr>
      <w:b/>
      <w:i/>
      <w:sz w:val="24"/>
      <w:szCs w:val="24"/>
      <w:u w:val="single"/>
    </w:rPr>
  </w:style>
  <w:style w:type="character" w:styleId="SubtleReference">
    <w:name w:val="Subtle Reference"/>
    <w:basedOn w:val="DefaultParagraphFont"/>
    <w:uiPriority w:val="31"/>
    <w:qFormat/>
    <w:rsid w:val="002A5EF6"/>
    <w:rPr>
      <w:sz w:val="24"/>
      <w:szCs w:val="24"/>
      <w:u w:val="single"/>
    </w:rPr>
  </w:style>
  <w:style w:type="character" w:styleId="IntenseReference">
    <w:name w:val="Intense Reference"/>
    <w:basedOn w:val="DefaultParagraphFont"/>
    <w:uiPriority w:val="32"/>
    <w:qFormat/>
    <w:rsid w:val="002A5EF6"/>
    <w:rPr>
      <w:b/>
      <w:sz w:val="24"/>
      <w:u w:val="single"/>
    </w:rPr>
  </w:style>
  <w:style w:type="character" w:styleId="BookTitle">
    <w:name w:val="Book Title"/>
    <w:basedOn w:val="DefaultParagraphFont"/>
    <w:uiPriority w:val="33"/>
    <w:qFormat/>
    <w:rsid w:val="002A5EF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5EF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1785</Words>
  <Characters>10176</Characters>
  <Application>Microsoft Office Word</Application>
  <DocSecurity>0</DocSecurity>
  <Lines>84</Lines>
  <Paragraphs>23</Paragraphs>
  <ScaleCrop>false</ScaleCrop>
  <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Hart</dc:creator>
  <cp:lastModifiedBy>Andrew Hart</cp:lastModifiedBy>
  <cp:revision>1</cp:revision>
  <dcterms:created xsi:type="dcterms:W3CDTF">2013-06-26T22:33:00Z</dcterms:created>
  <dcterms:modified xsi:type="dcterms:W3CDTF">2013-06-26T22:38:00Z</dcterms:modified>
</cp:coreProperties>
</file>